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2211B" w:rsidRDefault="00F92268" w:rsidP="000025F0">
            <w:pPr>
              <w:pStyle w:val="Header"/>
              <w:rPr>
                <w:rFonts w:cs="Arial"/>
                <w:sz w:val="16"/>
                <w:szCs w:val="16"/>
              </w:rPr>
            </w:pPr>
            <w:r w:rsidRPr="0072211B">
              <w:rPr>
                <w:rFonts w:cs="Arial"/>
                <w:sz w:val="16"/>
                <w:szCs w:val="16"/>
              </w:rPr>
              <w:t>Reference number(s)</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6DEFCBED" w:rsidR="00F92268" w:rsidRPr="0072211B" w:rsidRDefault="00B227E9" w:rsidP="000025F0">
            <w:pPr>
              <w:pStyle w:val="Header"/>
              <w:rPr>
                <w:rFonts w:cs="Arial"/>
                <w:color w:val="FF0000"/>
                <w:sz w:val="16"/>
                <w:szCs w:val="16"/>
              </w:rPr>
            </w:pPr>
            <w:r w:rsidRPr="0072211B">
              <w:rPr>
                <w:rFonts w:cs="Arial"/>
                <w:sz w:val="16"/>
                <w:szCs w:val="16"/>
              </w:rPr>
              <w:t>1959-A</w:t>
            </w:r>
          </w:p>
        </w:tc>
      </w:tr>
    </w:tbl>
    <w:p w14:paraId="74FBA5B4" w14:textId="77777777" w:rsidR="00051356" w:rsidRDefault="00051356" w:rsidP="00A672B3">
      <w:pPr>
        <w:pStyle w:val="BodyText"/>
        <w:rPr>
          <w:b/>
          <w:bCs/>
          <w:sz w:val="16"/>
          <w:szCs w:val="16"/>
        </w:rPr>
        <w:sectPr w:rsidR="00051356"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64ACC706" w:rsidR="004B15BB" w:rsidRPr="00BD1CC1" w:rsidRDefault="00B227E9" w:rsidP="00B227E9">
      <w:pPr>
        <w:pStyle w:val="Heading1"/>
      </w:pPr>
      <w:r>
        <w:t>Specialty Guideline Management</w:t>
      </w:r>
      <w:r w:rsidR="008C54D9" w:rsidRPr="00BD1CC1">
        <w:br/>
      </w:r>
      <w:r>
        <w:t>Actemra</w:t>
      </w:r>
      <w:r w:rsidR="003264FA">
        <w:t xml:space="preserve"> and Biosimilars</w:t>
      </w:r>
    </w:p>
    <w:p w14:paraId="78861C92" w14:textId="0733D06E" w:rsidR="00203468" w:rsidRPr="00BD1CC1" w:rsidRDefault="00C64534" w:rsidP="008E0F0D">
      <w:pPr>
        <w:pStyle w:val="Heading2"/>
      </w:pPr>
      <w:r w:rsidRPr="00BD1CC1">
        <w:t xml:space="preserve">Products Referenced by this </w:t>
      </w:r>
      <w:r w:rsidR="00501602" w:rsidRPr="00BD1CC1">
        <w:t>Document</w:t>
      </w:r>
    </w:p>
    <w:p w14:paraId="5455152B" w14:textId="5863CCEF" w:rsidR="008E0F0D" w:rsidRPr="00BD1CC1"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proofErr w:type="gramStart"/>
      <w:r w:rsidR="00F62721">
        <w:t>Over-the-counter</w:t>
      </w:r>
      <w:proofErr w:type="gramEnd"/>
      <w:r w:rsidR="00F62721">
        <w:t xml:space="preserve"> (</w:t>
      </w:r>
      <w:r w:rsidRPr="00BD1CC1">
        <w:t>OTC</w:t>
      </w:r>
      <w:r w:rsidR="00F62721">
        <w:t>)</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BD1CC1" w14:paraId="158421F8" w14:textId="77777777" w:rsidTr="000C5A6F">
        <w:trPr>
          <w:cantSplit/>
          <w:trHeight w:val="288"/>
          <w:tblHeader/>
        </w:trPr>
        <w:tc>
          <w:tcPr>
            <w:tcW w:w="5265" w:type="dxa"/>
            <w:vAlign w:val="center"/>
          </w:tcPr>
          <w:p w14:paraId="2A27354A" w14:textId="1390179E" w:rsidR="00252CE1" w:rsidRPr="00BD1CC1" w:rsidRDefault="00252CE1" w:rsidP="00AA1E6A">
            <w:pPr>
              <w:pStyle w:val="TableHeader"/>
            </w:pPr>
            <w:bookmarkStart w:id="0" w:name="_Hlk159603270"/>
            <w:r w:rsidRPr="00BD1CC1">
              <w:t>Brand Name</w:t>
            </w:r>
          </w:p>
        </w:tc>
        <w:tc>
          <w:tcPr>
            <w:tcW w:w="5595" w:type="dxa"/>
            <w:vAlign w:val="center"/>
          </w:tcPr>
          <w:p w14:paraId="3D342BE1" w14:textId="75F11EF1" w:rsidR="00252CE1" w:rsidRPr="00BD1CC1" w:rsidRDefault="00252CE1" w:rsidP="00AA1E6A">
            <w:pPr>
              <w:pStyle w:val="TableHeader"/>
            </w:pPr>
            <w:r w:rsidRPr="00BD1CC1">
              <w:t>Generic Name</w:t>
            </w:r>
          </w:p>
        </w:tc>
      </w:tr>
      <w:tr w:rsidR="00585FFF" w:rsidRPr="00BD1CC1" w14:paraId="2AD5C02D" w14:textId="77777777" w:rsidTr="000C5A6F">
        <w:trPr>
          <w:cantSplit/>
        </w:trPr>
        <w:tc>
          <w:tcPr>
            <w:tcW w:w="5265" w:type="dxa"/>
          </w:tcPr>
          <w:p w14:paraId="2D8FA8E3" w14:textId="43921EAD" w:rsidR="00585FFF" w:rsidRPr="00BD1CC1" w:rsidRDefault="00B227E9" w:rsidP="00E82ABA">
            <w:pPr>
              <w:pStyle w:val="TableDataUnpadded"/>
            </w:pPr>
            <w:r w:rsidRPr="00B227E9">
              <w:t>Actemra</w:t>
            </w:r>
          </w:p>
        </w:tc>
        <w:tc>
          <w:tcPr>
            <w:tcW w:w="5595" w:type="dxa"/>
          </w:tcPr>
          <w:p w14:paraId="7E26A004" w14:textId="2D7B758A" w:rsidR="00585FFF" w:rsidRPr="00BD1CC1" w:rsidRDefault="00B227E9" w:rsidP="00E82ABA">
            <w:pPr>
              <w:pStyle w:val="TableDataUnpadded"/>
            </w:pPr>
            <w:r w:rsidRPr="00B227E9">
              <w:t>tocilizumab</w:t>
            </w:r>
          </w:p>
        </w:tc>
      </w:tr>
      <w:tr w:rsidR="00757526" w:rsidRPr="00BD1CC1" w14:paraId="5102122F" w14:textId="77777777" w:rsidTr="000C5A6F">
        <w:trPr>
          <w:cantSplit/>
        </w:trPr>
        <w:tc>
          <w:tcPr>
            <w:tcW w:w="5265" w:type="dxa"/>
          </w:tcPr>
          <w:p w14:paraId="2A51B8B9" w14:textId="67305DBB" w:rsidR="00757526" w:rsidRPr="00B227E9" w:rsidRDefault="00757526" w:rsidP="00E82ABA">
            <w:pPr>
              <w:pStyle w:val="TableDataUnpadded"/>
            </w:pPr>
            <w:proofErr w:type="spellStart"/>
            <w:r>
              <w:t>Avtozma</w:t>
            </w:r>
            <w:proofErr w:type="spellEnd"/>
          </w:p>
        </w:tc>
        <w:tc>
          <w:tcPr>
            <w:tcW w:w="5595" w:type="dxa"/>
          </w:tcPr>
          <w:p w14:paraId="1C284C41" w14:textId="05D0DE75" w:rsidR="00757526" w:rsidRPr="00B227E9" w:rsidRDefault="00757526" w:rsidP="00E82ABA">
            <w:pPr>
              <w:pStyle w:val="TableDataUnpadded"/>
            </w:pPr>
            <w:r>
              <w:t>tocilizumab-</w:t>
            </w:r>
            <w:proofErr w:type="spellStart"/>
            <w:r>
              <w:t>anoh</w:t>
            </w:r>
            <w:proofErr w:type="spellEnd"/>
          </w:p>
        </w:tc>
      </w:tr>
      <w:tr w:rsidR="00D21D0C" w:rsidRPr="00BD1CC1" w14:paraId="79C2A122" w14:textId="77777777" w:rsidTr="000C5A6F">
        <w:trPr>
          <w:cantSplit/>
        </w:trPr>
        <w:tc>
          <w:tcPr>
            <w:tcW w:w="5265" w:type="dxa"/>
          </w:tcPr>
          <w:p w14:paraId="08001603" w14:textId="54E028EC" w:rsidR="00D21D0C" w:rsidRPr="00BD1CC1" w:rsidRDefault="00B227E9" w:rsidP="00E82ABA">
            <w:pPr>
              <w:pStyle w:val="TableDataUnpadded"/>
            </w:pPr>
            <w:proofErr w:type="spellStart"/>
            <w:r w:rsidRPr="00B227E9">
              <w:t>Tofidence</w:t>
            </w:r>
            <w:proofErr w:type="spellEnd"/>
          </w:p>
        </w:tc>
        <w:tc>
          <w:tcPr>
            <w:tcW w:w="5595" w:type="dxa"/>
          </w:tcPr>
          <w:p w14:paraId="26C54A5D" w14:textId="32D13300" w:rsidR="00D21D0C" w:rsidRPr="00BD1CC1" w:rsidRDefault="00B227E9" w:rsidP="00E82ABA">
            <w:pPr>
              <w:pStyle w:val="TableDataUnpadded"/>
            </w:pPr>
            <w:r w:rsidRPr="00B227E9">
              <w:t>tocilizumab-</w:t>
            </w:r>
            <w:proofErr w:type="spellStart"/>
            <w:r w:rsidRPr="00B227E9">
              <w:t>bavi</w:t>
            </w:r>
            <w:proofErr w:type="spellEnd"/>
          </w:p>
        </w:tc>
      </w:tr>
      <w:tr w:rsidR="003264FA" w:rsidRPr="00BD1CC1" w14:paraId="3CEA9296" w14:textId="77777777" w:rsidTr="000C5A6F">
        <w:trPr>
          <w:cantSplit/>
        </w:trPr>
        <w:tc>
          <w:tcPr>
            <w:tcW w:w="5265" w:type="dxa"/>
          </w:tcPr>
          <w:p w14:paraId="1AB6E79E" w14:textId="172F52D4" w:rsidR="003264FA" w:rsidRPr="00B227E9" w:rsidRDefault="003264FA" w:rsidP="00E82ABA">
            <w:pPr>
              <w:pStyle w:val="TableDataUnpadded"/>
            </w:pPr>
            <w:proofErr w:type="spellStart"/>
            <w:r>
              <w:t>Tyenne</w:t>
            </w:r>
            <w:proofErr w:type="spellEnd"/>
          </w:p>
        </w:tc>
        <w:tc>
          <w:tcPr>
            <w:tcW w:w="5595" w:type="dxa"/>
          </w:tcPr>
          <w:p w14:paraId="75E0675F" w14:textId="767BD7D8" w:rsidR="003264FA" w:rsidRPr="00B227E9" w:rsidRDefault="00B7785D" w:rsidP="00E82ABA">
            <w:pPr>
              <w:pStyle w:val="TableDataUnpadded"/>
            </w:pPr>
            <w:r>
              <w:t>t</w:t>
            </w:r>
            <w:r w:rsidR="003264FA">
              <w:t>oci</w:t>
            </w:r>
            <w:r>
              <w:t>lizumab-</w:t>
            </w:r>
            <w:proofErr w:type="spellStart"/>
            <w:r>
              <w:t>aazq</w:t>
            </w:r>
            <w:proofErr w:type="spellEnd"/>
          </w:p>
        </w:tc>
      </w:tr>
      <w:tr w:rsidR="00635EB3" w:rsidRPr="00BD1CC1" w14:paraId="1A8FB537" w14:textId="77777777" w:rsidTr="000C5A6F">
        <w:trPr>
          <w:cantSplit/>
        </w:trPr>
        <w:tc>
          <w:tcPr>
            <w:tcW w:w="5265" w:type="dxa"/>
          </w:tcPr>
          <w:p w14:paraId="08A6ED82" w14:textId="52D2C86C" w:rsidR="00635EB3" w:rsidRDefault="001002D3" w:rsidP="00635EB3">
            <w:pPr>
              <w:pStyle w:val="TableDataUnpadded"/>
            </w:pPr>
            <w:r w:rsidRPr="00D8293A">
              <w:t>tocilizumab-</w:t>
            </w:r>
            <w:proofErr w:type="spellStart"/>
            <w:r w:rsidRPr="00D8293A">
              <w:t>aazg</w:t>
            </w:r>
            <w:proofErr w:type="spellEnd"/>
            <w:r>
              <w:t xml:space="preserve"> (</w:t>
            </w:r>
            <w:r w:rsidR="00635EB3">
              <w:t xml:space="preserve">unbranded </w:t>
            </w:r>
            <w:proofErr w:type="spellStart"/>
            <w:r w:rsidR="00635EB3">
              <w:t>Tyenne</w:t>
            </w:r>
            <w:proofErr w:type="spellEnd"/>
            <w:r>
              <w:t>)</w:t>
            </w:r>
          </w:p>
        </w:tc>
        <w:tc>
          <w:tcPr>
            <w:tcW w:w="5595" w:type="dxa"/>
          </w:tcPr>
          <w:p w14:paraId="06F25ABD" w14:textId="6FAD6E2C" w:rsidR="00635EB3" w:rsidRDefault="00635EB3" w:rsidP="00635EB3">
            <w:pPr>
              <w:pStyle w:val="TableDataUnpadded"/>
            </w:pPr>
            <w:r w:rsidRPr="00D8293A">
              <w:t>tocilizumab-</w:t>
            </w:r>
            <w:proofErr w:type="spellStart"/>
            <w:r w:rsidRPr="00D8293A">
              <w:t>aazg</w:t>
            </w:r>
            <w:proofErr w:type="spellEnd"/>
          </w:p>
        </w:tc>
      </w:tr>
      <w:tr w:rsidR="00635EB3" w:rsidRPr="00BD1CC1" w14:paraId="351EFC24" w14:textId="77777777" w:rsidTr="000C5A6F">
        <w:trPr>
          <w:cantSplit/>
        </w:trPr>
        <w:tc>
          <w:tcPr>
            <w:tcW w:w="5265" w:type="dxa"/>
          </w:tcPr>
          <w:p w14:paraId="0D3805DB" w14:textId="1D49589A" w:rsidR="00635EB3" w:rsidRDefault="001002D3" w:rsidP="00635EB3">
            <w:pPr>
              <w:pStyle w:val="TableDataUnpadded"/>
            </w:pPr>
            <w:r>
              <w:t>tocilizumab-</w:t>
            </w:r>
            <w:proofErr w:type="spellStart"/>
            <w:r>
              <w:t>anoh</w:t>
            </w:r>
            <w:proofErr w:type="spellEnd"/>
            <w:r>
              <w:t xml:space="preserve"> (</w:t>
            </w:r>
            <w:r w:rsidR="00635EB3">
              <w:t xml:space="preserve">unbranded </w:t>
            </w:r>
            <w:proofErr w:type="spellStart"/>
            <w:r w:rsidR="00635EB3">
              <w:t>Avtozma</w:t>
            </w:r>
            <w:proofErr w:type="spellEnd"/>
            <w:r>
              <w:t>)</w:t>
            </w:r>
          </w:p>
        </w:tc>
        <w:tc>
          <w:tcPr>
            <w:tcW w:w="5595" w:type="dxa"/>
          </w:tcPr>
          <w:p w14:paraId="39455D74" w14:textId="21AB6139" w:rsidR="00635EB3" w:rsidRDefault="00635EB3" w:rsidP="00635EB3">
            <w:pPr>
              <w:pStyle w:val="TableDataUnpadded"/>
            </w:pPr>
            <w:r>
              <w:t>tocilizumab-</w:t>
            </w:r>
            <w:proofErr w:type="spellStart"/>
            <w:r>
              <w:t>anoh</w:t>
            </w:r>
            <w:proofErr w:type="spellEnd"/>
          </w:p>
        </w:tc>
      </w:tr>
    </w:tbl>
    <w:bookmarkEnd w:id="0"/>
    <w:p w14:paraId="14CE6108" w14:textId="3F23F6E0" w:rsidR="00FC1AAD" w:rsidRDefault="00ED052F" w:rsidP="00383F65">
      <w:pPr>
        <w:pStyle w:val="Heading2"/>
        <w:spacing w:before="240"/>
      </w:pPr>
      <w:r>
        <w:t>Indications</w:t>
      </w:r>
    </w:p>
    <w:p w14:paraId="06371E51" w14:textId="0A11CD92" w:rsidR="00B227E9" w:rsidRPr="00B227E9" w:rsidRDefault="00B227E9" w:rsidP="00B227E9">
      <w:pPr>
        <w:pStyle w:val="BodyText"/>
      </w:pPr>
      <w:r w:rsidRPr="00B227E9">
        <w:t xml:space="preserve">The indications below including FDA-approved indications and compendial uses are considered a covered benefit provided that all the approval criteria are </w:t>
      </w:r>
      <w:proofErr w:type="gramStart"/>
      <w:r w:rsidRPr="00B227E9">
        <w:t>met</w:t>
      </w:r>
      <w:proofErr w:type="gramEnd"/>
      <w:r w:rsidRPr="00B227E9">
        <w:t xml:space="preserve"> and the member has no exclusions to the prescribed therapy.</w:t>
      </w:r>
    </w:p>
    <w:p w14:paraId="134B5687" w14:textId="590F0D24" w:rsidR="00ED052F" w:rsidRPr="005831F0" w:rsidRDefault="00ED052F" w:rsidP="00ED052F">
      <w:pPr>
        <w:pStyle w:val="Heading3"/>
        <w:keepNext w:val="0"/>
        <w:rPr>
          <w:vertAlign w:val="superscript"/>
        </w:rPr>
      </w:pPr>
      <w:r w:rsidRPr="00BD1CC1">
        <w:t>FDA-approved Indications</w:t>
      </w:r>
      <w:r w:rsidR="0020426B">
        <w:rPr>
          <w:vertAlign w:val="superscript"/>
        </w:rPr>
        <w:t>1-</w:t>
      </w:r>
      <w:r w:rsidR="00F8115C">
        <w:rPr>
          <w:vertAlign w:val="superscript"/>
        </w:rPr>
        <w:t>6</w:t>
      </w:r>
    </w:p>
    <w:p w14:paraId="51FB5D57" w14:textId="3316B3C3" w:rsidR="00B227E9" w:rsidRPr="00B227E9" w:rsidRDefault="00B227E9" w:rsidP="00B227E9">
      <w:pPr>
        <w:pStyle w:val="ListParagraph"/>
      </w:pPr>
      <w:r w:rsidRPr="00B227E9">
        <w:t>Adult patients with moderately to severely active rheumatoid arthritis (RA) who have had an inadequate response to one or more disease-modifying antirheumatic drugs (DMARDs)</w:t>
      </w:r>
    </w:p>
    <w:p w14:paraId="3338C206" w14:textId="08FB0DFE" w:rsidR="00B227E9" w:rsidRPr="00B227E9" w:rsidRDefault="00B227E9" w:rsidP="00B227E9">
      <w:pPr>
        <w:pStyle w:val="ListParagraph"/>
      </w:pPr>
      <w:r w:rsidRPr="00B227E9">
        <w:t>Patients 2 years of age and older with active polyarticular juvenile idiopathic arthritis</w:t>
      </w:r>
      <w:r w:rsidR="000E313D">
        <w:t xml:space="preserve"> (</w:t>
      </w:r>
      <w:proofErr w:type="spellStart"/>
      <w:r w:rsidR="000E313D">
        <w:t>pJIA</w:t>
      </w:r>
      <w:proofErr w:type="spellEnd"/>
      <w:r w:rsidR="000E313D">
        <w:t>)</w:t>
      </w:r>
    </w:p>
    <w:p w14:paraId="23783DD8" w14:textId="22548E0F" w:rsidR="00B227E9" w:rsidRPr="00B227E9" w:rsidRDefault="00B227E9" w:rsidP="00B227E9">
      <w:pPr>
        <w:pStyle w:val="ListParagraph"/>
      </w:pPr>
      <w:r w:rsidRPr="00B227E9">
        <w:t>Patients 2 years of age and older with active systemic juvenile idiopathic arthritis (</w:t>
      </w:r>
      <w:proofErr w:type="spellStart"/>
      <w:r w:rsidRPr="00B227E9">
        <w:t>sJIA</w:t>
      </w:r>
      <w:proofErr w:type="spellEnd"/>
      <w:r w:rsidRPr="00B227E9">
        <w:t>)</w:t>
      </w:r>
    </w:p>
    <w:p w14:paraId="56E93CE4" w14:textId="20DAA58D" w:rsidR="00B227E9" w:rsidRPr="00B227E9" w:rsidRDefault="00B227E9" w:rsidP="00B227E9">
      <w:pPr>
        <w:pStyle w:val="ListParagraph"/>
      </w:pPr>
      <w:r w:rsidRPr="00B227E9">
        <w:t>Adult patients with giant cell arteritis (GCA)</w:t>
      </w:r>
    </w:p>
    <w:p w14:paraId="4CD1E439" w14:textId="7F0DCC5D" w:rsidR="00B227E9" w:rsidRPr="00B227E9" w:rsidRDefault="00B227E9" w:rsidP="00B227E9">
      <w:pPr>
        <w:pStyle w:val="ListParagraph"/>
      </w:pPr>
      <w:r w:rsidRPr="00B227E9">
        <w:t>Adult patients with systemic sclerosis-associated interstitial lung disease (</w:t>
      </w:r>
      <w:proofErr w:type="spellStart"/>
      <w:r w:rsidRPr="00B227E9">
        <w:t>SSc</w:t>
      </w:r>
      <w:proofErr w:type="spellEnd"/>
      <w:r w:rsidRPr="00B227E9">
        <w:t>-ILD) for slowing the rate of decline in pulmonary function</w:t>
      </w:r>
    </w:p>
    <w:p w14:paraId="2B2D400A" w14:textId="4F660A30" w:rsidR="00B227E9" w:rsidRPr="00B227E9" w:rsidRDefault="00B227E9" w:rsidP="00B227E9">
      <w:pPr>
        <w:pStyle w:val="ListParagraph"/>
      </w:pPr>
      <w:r w:rsidRPr="00B227E9">
        <w:lastRenderedPageBreak/>
        <w:t>Adults and pediatric patients 2 years of age and older with chimeric antigen receptor (CAR) T cell-induced severe or life-threatening cytokine release syndrome (CRS)</w:t>
      </w:r>
    </w:p>
    <w:p w14:paraId="47A1D911" w14:textId="0A888AF8" w:rsidR="00B227E9" w:rsidRDefault="00B227E9" w:rsidP="00B227E9">
      <w:pPr>
        <w:pStyle w:val="ListParagraph"/>
      </w:pPr>
      <w:r w:rsidRPr="00B227E9">
        <w:t>Hospitalized adult patients with coronavirus disease 2019 (COVID-19) who are receiving systemic corticosteroids and require supplemental oxygen, non-invasive or invasive mechanical ventilation, or extracorporeal membrane oxygenation (ECMO)</w:t>
      </w:r>
    </w:p>
    <w:p w14:paraId="0B5EC236" w14:textId="24FDA0C3" w:rsidR="0044763A" w:rsidRPr="005831F0" w:rsidRDefault="009F2EF1" w:rsidP="0044763A">
      <w:pPr>
        <w:pStyle w:val="Heading3"/>
        <w:rPr>
          <w:color w:val="C00000"/>
          <w:vertAlign w:val="superscript"/>
        </w:rPr>
      </w:pPr>
      <w:r>
        <w:t>Compendial Uses</w:t>
      </w:r>
      <w:r w:rsidR="00F8115C">
        <w:rPr>
          <w:vertAlign w:val="superscript"/>
        </w:rPr>
        <w:t>7</w:t>
      </w:r>
      <w:r w:rsidR="0020426B">
        <w:rPr>
          <w:vertAlign w:val="superscript"/>
        </w:rPr>
        <w:t>,</w:t>
      </w:r>
      <w:r w:rsidR="00F8115C">
        <w:rPr>
          <w:vertAlign w:val="superscript"/>
        </w:rPr>
        <w:t>20</w:t>
      </w:r>
    </w:p>
    <w:p w14:paraId="29F948AF" w14:textId="77777777" w:rsidR="00B227E9" w:rsidRPr="00E873FF" w:rsidRDefault="00B227E9" w:rsidP="00E873FF">
      <w:pPr>
        <w:pStyle w:val="ListParagraph"/>
      </w:pPr>
      <w:r w:rsidRPr="00E873FF">
        <w:t>Unicentric Castleman disease</w:t>
      </w:r>
    </w:p>
    <w:p w14:paraId="5B6635B8" w14:textId="77777777" w:rsidR="00B227E9" w:rsidRPr="00E873FF" w:rsidRDefault="00B227E9" w:rsidP="00E873FF">
      <w:pPr>
        <w:pStyle w:val="ListParagraph"/>
      </w:pPr>
      <w:r w:rsidRPr="00E873FF">
        <w:t>Multicentric Castleman disease</w:t>
      </w:r>
    </w:p>
    <w:p w14:paraId="7B27AD01" w14:textId="77777777" w:rsidR="00B227E9" w:rsidRPr="00E873FF" w:rsidRDefault="00B227E9" w:rsidP="00E873FF">
      <w:pPr>
        <w:pStyle w:val="ListParagraph"/>
      </w:pPr>
      <w:r w:rsidRPr="00E873FF">
        <w:t>Oligoarticular juvenile idiopathic arthritis</w:t>
      </w:r>
    </w:p>
    <w:p w14:paraId="3C250569" w14:textId="0FF9B204" w:rsidR="00B227E9" w:rsidRPr="00E873FF" w:rsidRDefault="00B227E9" w:rsidP="00E873FF">
      <w:pPr>
        <w:pStyle w:val="ListParagraph"/>
      </w:pPr>
      <w:r w:rsidRPr="00E873FF">
        <w:t>Immune checkpoint inhibitor-related toxici</w:t>
      </w:r>
      <w:r w:rsidR="00EC537B">
        <w:t>ty</w:t>
      </w:r>
    </w:p>
    <w:p w14:paraId="734D6555" w14:textId="77777777" w:rsidR="00B227E9" w:rsidRPr="00E873FF" w:rsidRDefault="00B227E9" w:rsidP="00E873FF">
      <w:pPr>
        <w:pStyle w:val="ListParagraph"/>
      </w:pPr>
      <w:r w:rsidRPr="00E873FF">
        <w:t>Acute graft versus host disease</w:t>
      </w:r>
    </w:p>
    <w:p w14:paraId="168DF520" w14:textId="77777777" w:rsidR="00B227E9" w:rsidRDefault="00B227E9" w:rsidP="00E873FF">
      <w:pPr>
        <w:pStyle w:val="ListParagraph"/>
      </w:pPr>
      <w:r w:rsidRPr="00E873FF">
        <w:t>Cytokine release syndrome (other than severe or life-threatening CAR T cell-induced CRS)</w:t>
      </w:r>
    </w:p>
    <w:p w14:paraId="7C96A30B" w14:textId="52988A47" w:rsidR="00CD0841" w:rsidRDefault="00CD0841" w:rsidP="00E873FF">
      <w:pPr>
        <w:pStyle w:val="ListParagraph"/>
      </w:pPr>
      <w:r>
        <w:t>Polymyalgia rheumatica</w:t>
      </w:r>
    </w:p>
    <w:p w14:paraId="2A0DAD09" w14:textId="1BFF5DFD" w:rsidR="00CD0841" w:rsidRPr="00E873FF" w:rsidRDefault="00CD0841" w:rsidP="00E873FF">
      <w:pPr>
        <w:pStyle w:val="ListParagraph"/>
      </w:pPr>
      <w:r>
        <w:t xml:space="preserve">Moderate to severe rheumatoid arthritis with no previous </w:t>
      </w:r>
      <w:r w:rsidR="00A57A81">
        <w:t>treatment failure</w:t>
      </w:r>
    </w:p>
    <w:p w14:paraId="63EFD014" w14:textId="2E839F69" w:rsidR="00840EAF" w:rsidRPr="00E873FF" w:rsidRDefault="00840EAF" w:rsidP="00E873FF">
      <w:pPr>
        <w:pStyle w:val="BodyText"/>
      </w:pPr>
      <w:r w:rsidRPr="00E873FF">
        <w:t>Note: The criteria outlined in this policy is only applicable to coverage in the outpatient setting. Hospitalized members receiving treatment for COVID-19 will be managed according to the member’s inpatient benefit.</w:t>
      </w:r>
    </w:p>
    <w:p w14:paraId="0D5A9DD5" w14:textId="6AE53B0F" w:rsidR="009A5649" w:rsidRPr="00E873FF" w:rsidRDefault="009A5649" w:rsidP="005F5C6D">
      <w:pPr>
        <w:pStyle w:val="BodyText"/>
        <w:tabs>
          <w:tab w:val="right" w:pos="10800"/>
        </w:tabs>
        <w:rPr>
          <w:rFonts w:eastAsia="Arial"/>
        </w:rPr>
      </w:pPr>
      <w:r w:rsidRPr="00E873FF">
        <w:t xml:space="preserve">All other indications are considered experimental/investigational and </w:t>
      </w:r>
      <w:r w:rsidRPr="00E873FF">
        <w:rPr>
          <w:rFonts w:eastAsia="Arial"/>
        </w:rPr>
        <w:t>not medically necessary.</w:t>
      </w:r>
    </w:p>
    <w:p w14:paraId="36381B6D" w14:textId="701A0769" w:rsidR="000D2496" w:rsidRPr="00BD1CC1" w:rsidRDefault="000D2496" w:rsidP="00383F65">
      <w:pPr>
        <w:pStyle w:val="Heading2"/>
        <w:spacing w:before="240"/>
      </w:pPr>
      <w:r w:rsidRPr="00BD1CC1">
        <w:t>Documentation</w:t>
      </w:r>
    </w:p>
    <w:p w14:paraId="2180ED6E" w14:textId="2944FD08" w:rsidR="000D2496" w:rsidRDefault="000D2496" w:rsidP="000D2496">
      <w:pPr>
        <w:pStyle w:val="BodyText"/>
      </w:pPr>
      <w:r w:rsidRPr="00BD1CC1">
        <w:t>Submission of the following information is necessary to initiate the prior authorization review:</w:t>
      </w:r>
    </w:p>
    <w:p w14:paraId="09CA316B" w14:textId="77777777" w:rsidR="00021C51" w:rsidRPr="0073643F" w:rsidRDefault="00021C51" w:rsidP="00021C51">
      <w:pPr>
        <w:pStyle w:val="Heading3"/>
      </w:pPr>
      <w:r w:rsidRPr="0073643F">
        <w:t>Rheumatoid arthritis (RA)</w:t>
      </w:r>
    </w:p>
    <w:p w14:paraId="2CD69ABB" w14:textId="66112F99" w:rsidR="00021C51" w:rsidRPr="00C062CA" w:rsidRDefault="00021C51" w:rsidP="00ED012B">
      <w:pPr>
        <w:pStyle w:val="Heading4"/>
      </w:pPr>
      <w:r w:rsidRPr="00C062CA">
        <w:t>Initial requests</w:t>
      </w:r>
    </w:p>
    <w:p w14:paraId="1E2BEE33" w14:textId="13CEB039" w:rsidR="006E3E7B" w:rsidRPr="006E3E7B" w:rsidRDefault="00021C51" w:rsidP="009F7EA7">
      <w:pPr>
        <w:pStyle w:val="ListParagraph"/>
        <w:numPr>
          <w:ilvl w:val="0"/>
          <w:numId w:val="20"/>
        </w:numPr>
        <w:rPr>
          <w:bCs/>
        </w:rPr>
      </w:pPr>
      <w:r w:rsidRPr="0073643F">
        <w:t>Chart notes, medical record documentation, or claims history supporting previous medications tried (if applicable)</w:t>
      </w:r>
      <w:bookmarkStart w:id="1" w:name="OLE_LINK40"/>
      <w:r w:rsidR="00C3669F">
        <w:t>.</w:t>
      </w:r>
    </w:p>
    <w:p w14:paraId="13E40F64" w14:textId="0E6D9CFA" w:rsidR="00021C51" w:rsidRPr="006E3E7B" w:rsidRDefault="00021C51" w:rsidP="009F7EA7">
      <w:pPr>
        <w:pStyle w:val="ListParagraph"/>
        <w:numPr>
          <w:ilvl w:val="0"/>
          <w:numId w:val="20"/>
        </w:numPr>
        <w:rPr>
          <w:bCs/>
        </w:rPr>
      </w:pPr>
      <w:r w:rsidRPr="0073643F">
        <w:t xml:space="preserve">Laboratory results, chart notes, or medical record documentation of </w:t>
      </w:r>
      <w:bookmarkEnd w:id="1"/>
      <w:r w:rsidRPr="0073643F">
        <w:t>biomarker testing (i.e., rheumatoid factor [RF], anti-cyclic citrullinated peptide [anti-CCP], and C-reactive protein [CRP] and/or erythrocyte sedimentation rate [ESR]) (if applicable).</w:t>
      </w:r>
    </w:p>
    <w:p w14:paraId="2F2F2162" w14:textId="2DB9F1AC" w:rsidR="00021C51" w:rsidRDefault="00021C51" w:rsidP="00ED012B">
      <w:pPr>
        <w:pStyle w:val="Heading4"/>
      </w:pPr>
      <w:r w:rsidRPr="00C062CA">
        <w:t>Continuation</w:t>
      </w:r>
      <w:r w:rsidRPr="0073643F">
        <w:t xml:space="preserve"> requests</w:t>
      </w:r>
    </w:p>
    <w:p w14:paraId="5D4CD6F7" w14:textId="5C6C1EA6" w:rsidR="00021C51" w:rsidRDefault="00021C51" w:rsidP="0012768E">
      <w:pPr>
        <w:pStyle w:val="BodyText"/>
      </w:pPr>
      <w:r w:rsidRPr="0073643F">
        <w:t>Chart notes or medical record documentation supporting positive clinical response.</w:t>
      </w:r>
    </w:p>
    <w:p w14:paraId="65FA5633" w14:textId="3DD3AF47" w:rsidR="00840EAF" w:rsidRDefault="00840EAF" w:rsidP="00383F65">
      <w:pPr>
        <w:pStyle w:val="Heading3"/>
        <w:keepNext w:val="0"/>
      </w:pPr>
      <w:r>
        <w:t>Articular juvenile idiopathic arthritis</w:t>
      </w:r>
    </w:p>
    <w:p w14:paraId="37DCE962" w14:textId="1E2A8FD6" w:rsidR="00B36FF8" w:rsidRDefault="00840EAF" w:rsidP="00B36FF8">
      <w:pPr>
        <w:pStyle w:val="Heading4"/>
      </w:pPr>
      <w:r>
        <w:t>Initial requests</w:t>
      </w:r>
    </w:p>
    <w:p w14:paraId="4FC9CCEC" w14:textId="5EE85696" w:rsidR="00840EAF" w:rsidRDefault="00840EAF" w:rsidP="00B36FF8">
      <w:pPr>
        <w:pStyle w:val="BodyText"/>
      </w:pPr>
      <w:r>
        <w:t>Chart notes, medical record documentation, or claims history supporting previous medications tried (if applicable), including response to therapy.</w:t>
      </w:r>
    </w:p>
    <w:p w14:paraId="52FB589B" w14:textId="5D0BDEDE" w:rsidR="00B36FF8" w:rsidRDefault="00840EAF" w:rsidP="00B36FF8">
      <w:pPr>
        <w:pStyle w:val="Heading4"/>
      </w:pPr>
      <w:r>
        <w:lastRenderedPageBreak/>
        <w:t>Continuation requests</w:t>
      </w:r>
    </w:p>
    <w:p w14:paraId="0BC7493D" w14:textId="30F21AD0" w:rsidR="00840EAF" w:rsidRDefault="00840EAF" w:rsidP="006A6E69">
      <w:pPr>
        <w:pStyle w:val="BodyText"/>
      </w:pPr>
      <w:r>
        <w:t>Chart notes or medical record documentation supporting positive clinical response.</w:t>
      </w:r>
    </w:p>
    <w:p w14:paraId="05C09D62" w14:textId="76DF227F" w:rsidR="00840EAF" w:rsidRDefault="00840EAF" w:rsidP="00CD1C6E">
      <w:pPr>
        <w:pStyle w:val="Heading3"/>
      </w:pPr>
      <w:r>
        <w:t>Systemic juvenile idiopathic arthritis (</w:t>
      </w:r>
      <w:proofErr w:type="spellStart"/>
      <w:r>
        <w:t>sJIA</w:t>
      </w:r>
      <w:proofErr w:type="spellEnd"/>
      <w:r>
        <w:t>)</w:t>
      </w:r>
    </w:p>
    <w:p w14:paraId="6353ECF9" w14:textId="17946D35" w:rsidR="00DF6479" w:rsidRDefault="00840EAF" w:rsidP="00DF6479">
      <w:pPr>
        <w:pStyle w:val="Heading4"/>
      </w:pPr>
      <w:r>
        <w:t>Initial requests</w:t>
      </w:r>
    </w:p>
    <w:p w14:paraId="49627990" w14:textId="57473F4A" w:rsidR="00840EAF" w:rsidRDefault="00840EAF" w:rsidP="00DF6479">
      <w:pPr>
        <w:pStyle w:val="BodyText"/>
      </w:pPr>
      <w:r>
        <w:t>Chart notes, medical record documentation, or claims history supporting previous medications tried (if applicable).</w:t>
      </w:r>
    </w:p>
    <w:p w14:paraId="74ADC347" w14:textId="6D873AA7" w:rsidR="00DF6479" w:rsidRDefault="00840EAF" w:rsidP="00DF6479">
      <w:pPr>
        <w:pStyle w:val="Heading4"/>
      </w:pPr>
      <w:r>
        <w:t>Continuation requests</w:t>
      </w:r>
    </w:p>
    <w:p w14:paraId="2E54A0E6" w14:textId="25B6E64C" w:rsidR="00840EAF" w:rsidRDefault="00840EAF" w:rsidP="00DF6479">
      <w:pPr>
        <w:pStyle w:val="BodyText"/>
      </w:pPr>
      <w:r>
        <w:t>Chart notes or medical record documentation supporting positive clinical response.</w:t>
      </w:r>
    </w:p>
    <w:p w14:paraId="75F349E0" w14:textId="4EB94F8D" w:rsidR="00840EAF" w:rsidRPr="00EE18BD" w:rsidRDefault="000F3BDB" w:rsidP="00EE18BD">
      <w:pPr>
        <w:pStyle w:val="Heading3"/>
      </w:pPr>
      <w:r>
        <w:t>I</w:t>
      </w:r>
      <w:r w:rsidR="00840EAF" w:rsidRPr="00EE18BD">
        <w:t>mmune checkpoint inhibitor-related toxicity, and acute graft versus host disease</w:t>
      </w:r>
      <w:r w:rsidR="00F6119E" w:rsidRPr="00EE18BD">
        <w:t xml:space="preserve"> (initial requests only)</w:t>
      </w:r>
    </w:p>
    <w:p w14:paraId="7FAD5C7C" w14:textId="6FA36BD7" w:rsidR="00840EAF" w:rsidRDefault="00840EAF" w:rsidP="00840EAF">
      <w:pPr>
        <w:pStyle w:val="BodyText"/>
      </w:pPr>
      <w:r>
        <w:t>Chart notes, medical record documentation, or claims history supporting previous medications tried (if applicable), including response to therapy. If therapy is not advisable, documentation of clinical reason to avoid therapy.</w:t>
      </w:r>
    </w:p>
    <w:p w14:paraId="52F122CE" w14:textId="3CD164E1" w:rsidR="00840EAF" w:rsidRPr="00EE18BD" w:rsidRDefault="00840EAF" w:rsidP="00EE18BD">
      <w:pPr>
        <w:pStyle w:val="Heading3"/>
      </w:pPr>
      <w:r w:rsidRPr="00AE3F5C">
        <w:t>Giant cell arteritis (GCA)</w:t>
      </w:r>
    </w:p>
    <w:p w14:paraId="2E53F809" w14:textId="1BFF080A" w:rsidR="00EE18BD" w:rsidRDefault="00EE18BD" w:rsidP="00486013">
      <w:pPr>
        <w:pStyle w:val="Heading4"/>
      </w:pPr>
      <w:r>
        <w:t>C</w:t>
      </w:r>
      <w:r w:rsidR="00840EAF">
        <w:t>ontinuation requests</w:t>
      </w:r>
    </w:p>
    <w:p w14:paraId="0657BEC2" w14:textId="2A6CE32D" w:rsidR="00840EAF" w:rsidRPr="00486013" w:rsidRDefault="00840EAF" w:rsidP="00486013">
      <w:pPr>
        <w:pStyle w:val="BodyText"/>
      </w:pPr>
      <w:r w:rsidRPr="00486013">
        <w:t>Chart notes or medical record documentation supporting positive clinical response.</w:t>
      </w:r>
    </w:p>
    <w:p w14:paraId="65FC2CF5" w14:textId="0EC5CBA1" w:rsidR="00840EAF" w:rsidRPr="00AE3F5C" w:rsidRDefault="00840EAF" w:rsidP="00AE3F5C">
      <w:pPr>
        <w:pStyle w:val="Heading3"/>
      </w:pPr>
      <w:r w:rsidRPr="006A3864">
        <w:t>Systemic sclerosis-associated interstitial lung disease (</w:t>
      </w:r>
      <w:proofErr w:type="spellStart"/>
      <w:r w:rsidRPr="006A3864">
        <w:t>SSc</w:t>
      </w:r>
      <w:proofErr w:type="spellEnd"/>
      <w:r w:rsidRPr="006A3864">
        <w:t>-ILD)</w:t>
      </w:r>
    </w:p>
    <w:p w14:paraId="7E137C62" w14:textId="34D8DA16" w:rsidR="00D63E20" w:rsidRDefault="00D63E20" w:rsidP="00D63E20">
      <w:pPr>
        <w:pStyle w:val="Heading4"/>
      </w:pPr>
      <w:r>
        <w:t>I</w:t>
      </w:r>
      <w:r w:rsidR="00840EAF">
        <w:t>nitial requests</w:t>
      </w:r>
    </w:p>
    <w:p w14:paraId="377158F9" w14:textId="30FD3CD5" w:rsidR="00840EAF" w:rsidRPr="00D63E20" w:rsidRDefault="00840EAF" w:rsidP="00D63E20">
      <w:pPr>
        <w:pStyle w:val="BodyText"/>
      </w:pPr>
      <w:r w:rsidRPr="00D63E20">
        <w:t>Result of a chest high-resolution computed tomography (HRCT) study.</w:t>
      </w:r>
    </w:p>
    <w:p w14:paraId="3D5D5319" w14:textId="73B035E6" w:rsidR="0073158A" w:rsidRDefault="00050C8A" w:rsidP="00383F65">
      <w:pPr>
        <w:pStyle w:val="Heading3"/>
        <w:keepNext w:val="0"/>
      </w:pPr>
      <w:r>
        <w:t>Polymyalgia rheumatica</w:t>
      </w:r>
      <w:r w:rsidR="007A7EAF">
        <w:t xml:space="preserve"> and immune checkpoint inhibitor-related inflammatory arthritis</w:t>
      </w:r>
    </w:p>
    <w:p w14:paraId="6D298A24" w14:textId="0A53AB4F" w:rsidR="003C1553" w:rsidRDefault="00545FF7" w:rsidP="003C1553">
      <w:pPr>
        <w:pStyle w:val="Heading4"/>
      </w:pPr>
      <w:r w:rsidRPr="00545FF7">
        <w:t>Initial requests</w:t>
      </w:r>
    </w:p>
    <w:p w14:paraId="3A50FEF2" w14:textId="05DC3D55" w:rsidR="00545FF7" w:rsidRPr="00545FF7" w:rsidRDefault="00545FF7" w:rsidP="003C1553">
      <w:pPr>
        <w:pStyle w:val="BodyText"/>
      </w:pPr>
      <w:r w:rsidRPr="00545FF7">
        <w:t>Chart notes, medical record documentation, or claims history supporting previous medications tried (if applicable)</w:t>
      </w:r>
      <w:r w:rsidR="00065F7B">
        <w:t xml:space="preserve">, including response to </w:t>
      </w:r>
      <w:r w:rsidR="008A5DB9">
        <w:t>therapy. If therapy is not advisable, documentation of clinical reason to avoid therapy</w:t>
      </w:r>
      <w:r w:rsidRPr="00545FF7">
        <w:t>.</w:t>
      </w:r>
    </w:p>
    <w:p w14:paraId="01C52C99" w14:textId="0B534D14" w:rsidR="003C1553" w:rsidRDefault="00545FF7" w:rsidP="003C1553">
      <w:pPr>
        <w:pStyle w:val="Heading4"/>
      </w:pPr>
      <w:r w:rsidRPr="00545FF7">
        <w:t>Continuation requests</w:t>
      </w:r>
    </w:p>
    <w:p w14:paraId="600E76E7" w14:textId="6DA583FB" w:rsidR="00CD3368" w:rsidRPr="00CD3368" w:rsidRDefault="00545FF7" w:rsidP="003C1553">
      <w:pPr>
        <w:pStyle w:val="BodyText"/>
      </w:pPr>
      <w:r w:rsidRPr="00545FF7">
        <w:t>Chart notes or medical record documentation supporting positive clinical response.</w:t>
      </w:r>
    </w:p>
    <w:p w14:paraId="4A5B15F8" w14:textId="3FB1C3B5" w:rsidR="00006174" w:rsidRPr="00AA1E6A" w:rsidRDefault="00006174" w:rsidP="00383F65">
      <w:pPr>
        <w:pStyle w:val="Heading2"/>
        <w:spacing w:before="240"/>
      </w:pPr>
      <w:r w:rsidRPr="00BD1CC1">
        <w:lastRenderedPageBreak/>
        <w:t>Prescriber Specialties</w:t>
      </w:r>
    </w:p>
    <w:p w14:paraId="3339DD5A" w14:textId="77777777" w:rsidR="00006174" w:rsidRPr="00BD1CC1" w:rsidRDefault="00006174" w:rsidP="00006174">
      <w:pPr>
        <w:pStyle w:val="BodyText"/>
      </w:pPr>
      <w:r w:rsidRPr="00BD1CC1">
        <w:t>This medication must be prescribed by or in consultation with one of the following:</w:t>
      </w:r>
    </w:p>
    <w:p w14:paraId="7C7816B3" w14:textId="59CCC070" w:rsidR="0004745F" w:rsidRPr="0004745F" w:rsidRDefault="0004745F" w:rsidP="0004745F">
      <w:pPr>
        <w:pStyle w:val="ListParagraph"/>
      </w:pPr>
      <w:r w:rsidRPr="0004745F">
        <w:t>Rheumatoid arthritis, articular juvenile idiopathic arthritis, systemic juvenile idiopathic arthritis, giant cell arteritis</w:t>
      </w:r>
      <w:r w:rsidR="007E3939">
        <w:t>, and polymyalgia rheumatica</w:t>
      </w:r>
      <w:r w:rsidRPr="0004745F">
        <w:t>: rheumatologist</w:t>
      </w:r>
    </w:p>
    <w:p w14:paraId="260BCD1C" w14:textId="77777777" w:rsidR="0004745F" w:rsidRPr="0004745F" w:rsidRDefault="0004745F" w:rsidP="0004745F">
      <w:pPr>
        <w:pStyle w:val="ListParagraph"/>
      </w:pPr>
      <w:r w:rsidRPr="0004745F">
        <w:t>Systemic sclerosis-associated interstitial lung disease: rheumatologist or pulmonologist</w:t>
      </w:r>
    </w:p>
    <w:p w14:paraId="2DC87D38" w14:textId="6B6D0326" w:rsidR="0004745F" w:rsidRPr="0004745F" w:rsidRDefault="0004745F" w:rsidP="0004745F">
      <w:pPr>
        <w:pStyle w:val="ListParagraph"/>
      </w:pPr>
      <w:r w:rsidRPr="0004745F">
        <w:t xml:space="preserve">Immune checkpoint inhibitor-related </w:t>
      </w:r>
      <w:r w:rsidR="009D7ADB">
        <w:t>inflammatory arthritis</w:t>
      </w:r>
      <w:r w:rsidRPr="0004745F">
        <w:t>: oncologist, hematologist, or rheumatologist</w:t>
      </w:r>
    </w:p>
    <w:p w14:paraId="7F78A335" w14:textId="6EE520DA" w:rsidR="0004745F" w:rsidRPr="0004745F" w:rsidRDefault="0004745F" w:rsidP="0004745F">
      <w:pPr>
        <w:pStyle w:val="ListParagraph"/>
      </w:pPr>
      <w:r w:rsidRPr="0004745F">
        <w:t>Cytokine release syndrome, unicentric Castleman disease, multicentric Castleman disease,</w:t>
      </w:r>
      <w:r w:rsidR="009D7ADB">
        <w:t xml:space="preserve"> </w:t>
      </w:r>
      <w:r w:rsidRPr="0004745F">
        <w:t>acute graft versus host disease</w:t>
      </w:r>
      <w:r w:rsidR="009D7ADB">
        <w:t>, and immune checkpoint inhibitor-related toxicity</w:t>
      </w:r>
      <w:r w:rsidRPr="0004745F">
        <w:t>: oncologist or hematologist</w:t>
      </w:r>
    </w:p>
    <w:p w14:paraId="50A38FBA" w14:textId="2FE7C417" w:rsidR="00FE0C63" w:rsidRDefault="00685107" w:rsidP="00383F65">
      <w:pPr>
        <w:pStyle w:val="Heading2"/>
        <w:spacing w:before="240"/>
        <w:rPr>
          <w:color w:val="C00000"/>
        </w:rPr>
      </w:pPr>
      <w:r>
        <w:t>Coverage Criteria</w:t>
      </w:r>
    </w:p>
    <w:p w14:paraId="5E357792" w14:textId="59442EF9" w:rsidR="00C22F9B" w:rsidRPr="005831F0" w:rsidRDefault="00C22F9B" w:rsidP="00C22F9B">
      <w:pPr>
        <w:pStyle w:val="Heading3"/>
        <w:rPr>
          <w:vertAlign w:val="superscript"/>
        </w:rPr>
      </w:pPr>
      <w:r w:rsidRPr="0073643F">
        <w:t>Rheumatoid arthritis (RA)</w:t>
      </w:r>
      <w:r w:rsidR="004743A7">
        <w:rPr>
          <w:vertAlign w:val="superscript"/>
        </w:rPr>
        <w:t>1-</w:t>
      </w:r>
      <w:r w:rsidR="00CC7C35">
        <w:rPr>
          <w:vertAlign w:val="superscript"/>
        </w:rPr>
        <w:t>6</w:t>
      </w:r>
      <w:r w:rsidR="004743A7">
        <w:rPr>
          <w:vertAlign w:val="superscript"/>
        </w:rPr>
        <w:t>,</w:t>
      </w:r>
      <w:r w:rsidR="00CC7C35">
        <w:rPr>
          <w:vertAlign w:val="superscript"/>
        </w:rPr>
        <w:t>8</w:t>
      </w:r>
      <w:r w:rsidR="004743A7">
        <w:rPr>
          <w:vertAlign w:val="superscript"/>
        </w:rPr>
        <w:t>,</w:t>
      </w:r>
      <w:r w:rsidR="00CC7C35">
        <w:rPr>
          <w:vertAlign w:val="superscript"/>
        </w:rPr>
        <w:t>9</w:t>
      </w:r>
      <w:r w:rsidR="004743A7">
        <w:rPr>
          <w:vertAlign w:val="superscript"/>
        </w:rPr>
        <w:t>,1</w:t>
      </w:r>
      <w:r w:rsidR="00CC7C35">
        <w:rPr>
          <w:vertAlign w:val="superscript"/>
        </w:rPr>
        <w:t>6</w:t>
      </w:r>
      <w:r w:rsidR="004743A7">
        <w:rPr>
          <w:vertAlign w:val="superscript"/>
        </w:rPr>
        <w:t>,1</w:t>
      </w:r>
      <w:r w:rsidR="00CC7C35">
        <w:rPr>
          <w:vertAlign w:val="superscript"/>
        </w:rPr>
        <w:t>8</w:t>
      </w:r>
      <w:r w:rsidR="004743A7">
        <w:rPr>
          <w:vertAlign w:val="superscript"/>
        </w:rPr>
        <w:t>-</w:t>
      </w:r>
      <w:r w:rsidR="00CC7C35">
        <w:rPr>
          <w:vertAlign w:val="superscript"/>
        </w:rPr>
        <w:t>20</w:t>
      </w:r>
    </w:p>
    <w:p w14:paraId="443905D6" w14:textId="77777777" w:rsidR="00C22F9B" w:rsidRPr="0073643F" w:rsidRDefault="00C22F9B" w:rsidP="00C22F9B">
      <w:pPr>
        <w:pStyle w:val="BodyText"/>
      </w:pPr>
      <w:r w:rsidRPr="0073643F">
        <w:t xml:space="preserve">Authorization of 12 months may be granted for adult members who have previously received a biologic or targeted synthetic drug (e.g., Rinvoq, Xeljanz) indicated for </w:t>
      </w:r>
      <w:r w:rsidRPr="0073643F">
        <w:rPr>
          <w:bCs/>
        </w:rPr>
        <w:t>moderately to severely active rheumatoid arthritis</w:t>
      </w:r>
      <w:r w:rsidRPr="0073643F">
        <w:t>.</w:t>
      </w:r>
    </w:p>
    <w:p w14:paraId="0C89D240" w14:textId="37F1E393" w:rsidR="00C22F9B" w:rsidRPr="005253D9" w:rsidRDefault="00C22F9B" w:rsidP="005831F0">
      <w:pPr>
        <w:pStyle w:val="BodyText"/>
      </w:pPr>
      <w:r w:rsidRPr="0073643F">
        <w:t xml:space="preserve">Authorization of 12 months may be granted for adult members for treatment of moderately to severely active RA when </w:t>
      </w:r>
      <w:r w:rsidR="00E70965">
        <w:t>either</w:t>
      </w:r>
      <w:r w:rsidR="00E70965" w:rsidRPr="0073643F">
        <w:t xml:space="preserve"> </w:t>
      </w:r>
      <w:r w:rsidRPr="0073643F">
        <w:t xml:space="preserve">of the following criteria </w:t>
      </w:r>
      <w:r w:rsidR="00E70965">
        <w:t>is</w:t>
      </w:r>
      <w:r w:rsidR="00E70965" w:rsidRPr="0073643F">
        <w:t xml:space="preserve"> </w:t>
      </w:r>
      <w:r w:rsidRPr="0073643F">
        <w:t>met:</w:t>
      </w:r>
    </w:p>
    <w:p w14:paraId="1E538C30" w14:textId="77777777" w:rsidR="00C22F9B" w:rsidRPr="005253D9" w:rsidRDefault="00C22F9B" w:rsidP="005831F0">
      <w:pPr>
        <w:pStyle w:val="ListParagraph"/>
        <w:keepNext/>
        <w:numPr>
          <w:ilvl w:val="0"/>
          <w:numId w:val="20"/>
        </w:numPr>
      </w:pPr>
      <w:bookmarkStart w:id="2" w:name="_Hlk67765229"/>
      <w:r w:rsidRPr="005253D9">
        <w:t>Member has been tested for either of the following biomarkers and the test was positive:</w:t>
      </w:r>
      <w:bookmarkEnd w:id="2"/>
    </w:p>
    <w:p w14:paraId="0635C3FD" w14:textId="77777777" w:rsidR="00C22F9B" w:rsidRPr="005253D9" w:rsidRDefault="00C22F9B" w:rsidP="005831F0">
      <w:pPr>
        <w:pStyle w:val="ListParagraph"/>
        <w:numPr>
          <w:ilvl w:val="1"/>
          <w:numId w:val="20"/>
        </w:numPr>
      </w:pPr>
      <w:bookmarkStart w:id="3" w:name="_Hlk67995603"/>
      <w:r w:rsidRPr="005253D9">
        <w:t>Rheumatoid factor (RF)</w:t>
      </w:r>
      <w:bookmarkStart w:id="4" w:name="_Hlk67995609"/>
      <w:bookmarkEnd w:id="3"/>
    </w:p>
    <w:p w14:paraId="57AC7D60" w14:textId="77777777" w:rsidR="00C22F9B" w:rsidRDefault="00C22F9B" w:rsidP="005831F0">
      <w:pPr>
        <w:pStyle w:val="ListParagraph"/>
        <w:numPr>
          <w:ilvl w:val="1"/>
          <w:numId w:val="20"/>
        </w:numPr>
      </w:pPr>
      <w:r w:rsidRPr="005253D9">
        <w:t xml:space="preserve">Anti-cyclic </w:t>
      </w:r>
      <w:bookmarkStart w:id="5" w:name="_Hlk67765256"/>
      <w:r w:rsidRPr="005253D9">
        <w:t>citrullinated peptide (anti-CCP)</w:t>
      </w:r>
      <w:bookmarkEnd w:id="4"/>
      <w:bookmarkEnd w:id="5"/>
    </w:p>
    <w:p w14:paraId="0F52BC1F" w14:textId="77777777" w:rsidR="00C22F9B" w:rsidRDefault="00C22F9B" w:rsidP="005831F0">
      <w:pPr>
        <w:pStyle w:val="ListParagraph"/>
        <w:numPr>
          <w:ilvl w:val="0"/>
          <w:numId w:val="20"/>
        </w:numPr>
      </w:pPr>
      <w:r w:rsidRPr="0073643F">
        <w:t xml:space="preserve">Member has been tested for </w:t>
      </w:r>
      <w:proofErr w:type="gramStart"/>
      <w:r w:rsidRPr="0073643F">
        <w:t>ALL of</w:t>
      </w:r>
      <w:proofErr w:type="gramEnd"/>
      <w:r w:rsidRPr="0073643F">
        <w:t xml:space="preserve"> the following biomarkers:</w:t>
      </w:r>
    </w:p>
    <w:p w14:paraId="7407A87B" w14:textId="77777777" w:rsidR="00C22F9B" w:rsidRDefault="00C22F9B" w:rsidP="005831F0">
      <w:pPr>
        <w:pStyle w:val="ListParagraph"/>
        <w:numPr>
          <w:ilvl w:val="1"/>
          <w:numId w:val="20"/>
        </w:numPr>
      </w:pPr>
      <w:r w:rsidRPr="0073643F">
        <w:t>RF</w:t>
      </w:r>
    </w:p>
    <w:p w14:paraId="64D771DD" w14:textId="77777777" w:rsidR="00C22F9B" w:rsidRDefault="00C22F9B" w:rsidP="005831F0">
      <w:pPr>
        <w:pStyle w:val="ListParagraph"/>
        <w:numPr>
          <w:ilvl w:val="1"/>
          <w:numId w:val="20"/>
        </w:numPr>
      </w:pPr>
      <w:r w:rsidRPr="0073643F">
        <w:t>Anti-CCP</w:t>
      </w:r>
    </w:p>
    <w:p w14:paraId="38381CCD" w14:textId="77777777" w:rsidR="00C22F9B" w:rsidRPr="0073643F" w:rsidRDefault="00C22F9B" w:rsidP="005831F0">
      <w:pPr>
        <w:pStyle w:val="ListParagraph"/>
        <w:numPr>
          <w:ilvl w:val="1"/>
          <w:numId w:val="20"/>
        </w:numPr>
      </w:pPr>
      <w:r w:rsidRPr="0073643F">
        <w:t>C-reactive protein (CRP) and/or erythrocyte sedimentation rate (ESR)</w:t>
      </w:r>
    </w:p>
    <w:p w14:paraId="35711C5B" w14:textId="7E946EFE" w:rsidR="001D7651" w:rsidRPr="005831F0" w:rsidRDefault="001D7651" w:rsidP="001D7651">
      <w:pPr>
        <w:pStyle w:val="Heading3"/>
        <w:rPr>
          <w:vertAlign w:val="superscript"/>
        </w:rPr>
      </w:pPr>
      <w:r>
        <w:t>Articular juvenile idiopathic arthritis</w:t>
      </w:r>
      <w:r w:rsidR="001C42C0">
        <w:rPr>
          <w:vertAlign w:val="superscript"/>
        </w:rPr>
        <w:t>1-</w:t>
      </w:r>
      <w:r w:rsidR="003B55EF">
        <w:rPr>
          <w:vertAlign w:val="superscript"/>
        </w:rPr>
        <w:t>6</w:t>
      </w:r>
      <w:r w:rsidR="001C42C0">
        <w:rPr>
          <w:vertAlign w:val="superscript"/>
        </w:rPr>
        <w:t>,</w:t>
      </w:r>
      <w:r w:rsidR="00C13726">
        <w:rPr>
          <w:vertAlign w:val="superscript"/>
        </w:rPr>
        <w:t>1</w:t>
      </w:r>
      <w:r w:rsidR="003B55EF">
        <w:rPr>
          <w:vertAlign w:val="superscript"/>
        </w:rPr>
        <w:t>2</w:t>
      </w:r>
      <w:r w:rsidR="001C42C0">
        <w:rPr>
          <w:vertAlign w:val="superscript"/>
        </w:rPr>
        <w:t>,</w:t>
      </w:r>
      <w:r w:rsidR="003B55EF">
        <w:rPr>
          <w:vertAlign w:val="superscript"/>
        </w:rPr>
        <w:t>21</w:t>
      </w:r>
    </w:p>
    <w:p w14:paraId="3D8BF2E9" w14:textId="0C806BCF" w:rsidR="001D7651" w:rsidRDefault="001D7651" w:rsidP="009800D9">
      <w:pPr>
        <w:pStyle w:val="BodyText"/>
      </w:pPr>
      <w:r>
        <w:t>Authorization of 12 months may be granted for members 2 years of age or older who have previously received a biologic or targeted synthetic drug (e.g., Xeljanz) indicated for active articular juvenile idiopathic arthritis.</w:t>
      </w:r>
    </w:p>
    <w:p w14:paraId="3CF296E2" w14:textId="2A183C4C" w:rsidR="001D7651" w:rsidRDefault="001D7651" w:rsidP="009800D9">
      <w:pPr>
        <w:pStyle w:val="BodyText"/>
      </w:pPr>
      <w:r>
        <w:t>Authorization of 12 months may be granted for members 2 years of age or older for treatment of active articular juvenile idiopathic arthritis when any of the following criteria is met:</w:t>
      </w:r>
    </w:p>
    <w:p w14:paraId="41932575" w14:textId="345D8E8F" w:rsidR="001D7651" w:rsidRDefault="001D7651" w:rsidP="001D7651">
      <w:pPr>
        <w:pStyle w:val="ListParagraph"/>
      </w:pPr>
      <w:r>
        <w:t>Member has had an inadequate response to methotrexate or another conventional synthetic drug (e.g., leflunomide, sulfasalazine, hydroxychloroquine) administered at an adequate dose and duration.</w:t>
      </w:r>
    </w:p>
    <w:p w14:paraId="4510CCAD" w14:textId="08A8537F" w:rsidR="001D7651" w:rsidRDefault="001D7651" w:rsidP="001D7651">
      <w:pPr>
        <w:pStyle w:val="ListParagraph"/>
      </w:pPr>
      <w:r>
        <w:t xml:space="preserve">Member has had an inadequate response to a trial of scheduled non-steroidal anti-inflammatory drugs (NSAIDs) and/or intra-articular glucocorticoids (e.g., triamcinolone </w:t>
      </w:r>
      <w:proofErr w:type="spellStart"/>
      <w:r>
        <w:t>hexacetonide</w:t>
      </w:r>
      <w:proofErr w:type="spellEnd"/>
      <w:r>
        <w:t>) and one of the following risk factors for poor outcome:</w:t>
      </w:r>
    </w:p>
    <w:p w14:paraId="3088D427" w14:textId="68239647" w:rsidR="001D7651" w:rsidRDefault="001D7651" w:rsidP="001D7651">
      <w:pPr>
        <w:pStyle w:val="ListParagraph"/>
        <w:numPr>
          <w:ilvl w:val="1"/>
          <w:numId w:val="21"/>
        </w:numPr>
      </w:pPr>
      <w:r>
        <w:lastRenderedPageBreak/>
        <w:t>Involvement of ankle, wrist, hip, sacroiliac joint, and/or temporomandibular joint (TMJ)</w:t>
      </w:r>
    </w:p>
    <w:p w14:paraId="0C3FA4B4" w14:textId="0D8F0BA8" w:rsidR="001D7651" w:rsidRDefault="001D7651" w:rsidP="001D7651">
      <w:pPr>
        <w:pStyle w:val="ListParagraph"/>
        <w:numPr>
          <w:ilvl w:val="1"/>
          <w:numId w:val="21"/>
        </w:numPr>
      </w:pPr>
      <w:r>
        <w:t>Presence of erosive disease or enthesitis</w:t>
      </w:r>
    </w:p>
    <w:p w14:paraId="009E3A47" w14:textId="1C26BBCB" w:rsidR="001D7651" w:rsidRDefault="001D7651" w:rsidP="001D7651">
      <w:pPr>
        <w:pStyle w:val="ListParagraph"/>
        <w:numPr>
          <w:ilvl w:val="1"/>
          <w:numId w:val="21"/>
        </w:numPr>
      </w:pPr>
      <w:r>
        <w:t>Delay in diagnosis</w:t>
      </w:r>
    </w:p>
    <w:p w14:paraId="512E61B3" w14:textId="6CBE46CC" w:rsidR="001D7651" w:rsidRDefault="001D7651" w:rsidP="001D7651">
      <w:pPr>
        <w:pStyle w:val="ListParagraph"/>
        <w:numPr>
          <w:ilvl w:val="1"/>
          <w:numId w:val="21"/>
        </w:numPr>
      </w:pPr>
      <w:r>
        <w:t>Elevated levels of inflammation markers</w:t>
      </w:r>
    </w:p>
    <w:p w14:paraId="7B66FACC" w14:textId="25AA015F" w:rsidR="001D7651" w:rsidRDefault="001D7651" w:rsidP="001D7651">
      <w:pPr>
        <w:pStyle w:val="ListParagraph"/>
        <w:numPr>
          <w:ilvl w:val="1"/>
          <w:numId w:val="21"/>
        </w:numPr>
      </w:pPr>
      <w:r>
        <w:t>Symmetric disease</w:t>
      </w:r>
    </w:p>
    <w:p w14:paraId="2D0B5B1B" w14:textId="77777777" w:rsidR="001D7651" w:rsidRDefault="001D7651" w:rsidP="001D7651">
      <w:pPr>
        <w:pStyle w:val="ListParagraph"/>
      </w:pPr>
      <w:r>
        <w:t>Member has risk factors for disease severity and potentially a more refractory disease course (see Appendix B) and the member also meets one of the following:</w:t>
      </w:r>
    </w:p>
    <w:p w14:paraId="7C0B9F53" w14:textId="04EE5843" w:rsidR="001D7651" w:rsidRDefault="001D7651" w:rsidP="001D7651">
      <w:pPr>
        <w:pStyle w:val="ListParagraph"/>
        <w:numPr>
          <w:ilvl w:val="1"/>
          <w:numId w:val="21"/>
        </w:numPr>
      </w:pPr>
      <w:r>
        <w:t>High-risk joints are involved (e.g., cervical spine, wrist, or hip)</w:t>
      </w:r>
    </w:p>
    <w:p w14:paraId="5B6D3AA8" w14:textId="46BCBFA2" w:rsidR="001D7651" w:rsidRDefault="001D7651" w:rsidP="001D7651">
      <w:pPr>
        <w:pStyle w:val="ListParagraph"/>
        <w:numPr>
          <w:ilvl w:val="1"/>
          <w:numId w:val="21"/>
        </w:numPr>
      </w:pPr>
      <w:r>
        <w:t>High disease activity</w:t>
      </w:r>
    </w:p>
    <w:p w14:paraId="64184064" w14:textId="521073A8" w:rsidR="001D7651" w:rsidRDefault="001D7651" w:rsidP="001D7651">
      <w:pPr>
        <w:pStyle w:val="ListParagraph"/>
        <w:numPr>
          <w:ilvl w:val="1"/>
          <w:numId w:val="21"/>
        </w:numPr>
      </w:pPr>
      <w:r>
        <w:t>Is judged to be at high risk for disabling joint disease</w:t>
      </w:r>
    </w:p>
    <w:p w14:paraId="1D654A75" w14:textId="19E78826" w:rsidR="00926E46" w:rsidRPr="005831F0" w:rsidRDefault="00926E46" w:rsidP="00926E46">
      <w:pPr>
        <w:pStyle w:val="Heading3"/>
        <w:rPr>
          <w:vertAlign w:val="superscript"/>
        </w:rPr>
      </w:pPr>
      <w:r>
        <w:t>Systemic juvenile idiopathic arthritis (</w:t>
      </w:r>
      <w:proofErr w:type="spellStart"/>
      <w:r>
        <w:t>sJIA</w:t>
      </w:r>
      <w:proofErr w:type="spellEnd"/>
      <w:r>
        <w:t>)</w:t>
      </w:r>
      <w:r w:rsidR="000406B9">
        <w:rPr>
          <w:vertAlign w:val="superscript"/>
        </w:rPr>
        <w:t>1-</w:t>
      </w:r>
      <w:r w:rsidR="00405B8C">
        <w:rPr>
          <w:vertAlign w:val="superscript"/>
        </w:rPr>
        <w:t>6</w:t>
      </w:r>
      <w:r w:rsidR="000406B9">
        <w:rPr>
          <w:vertAlign w:val="superscript"/>
        </w:rPr>
        <w:t>,</w:t>
      </w:r>
      <w:r w:rsidR="00405B8C">
        <w:rPr>
          <w:vertAlign w:val="superscript"/>
        </w:rPr>
        <w:t>11</w:t>
      </w:r>
      <w:r w:rsidR="000406B9">
        <w:rPr>
          <w:vertAlign w:val="superscript"/>
        </w:rPr>
        <w:t>,</w:t>
      </w:r>
      <w:r w:rsidR="00405B8C">
        <w:rPr>
          <w:vertAlign w:val="superscript"/>
        </w:rPr>
        <w:t>21</w:t>
      </w:r>
    </w:p>
    <w:p w14:paraId="51E629D1" w14:textId="2A18800A" w:rsidR="00926E46" w:rsidRDefault="00926E46" w:rsidP="007A319B">
      <w:pPr>
        <w:pStyle w:val="BodyText"/>
      </w:pPr>
      <w:r>
        <w:t xml:space="preserve">Authorization of 12 months may be granted for members 2 years of age or older who have previously received a biologic indicated for active </w:t>
      </w:r>
      <w:proofErr w:type="spellStart"/>
      <w:r>
        <w:t>sJIA</w:t>
      </w:r>
      <w:proofErr w:type="spellEnd"/>
      <w:r>
        <w:t>.</w:t>
      </w:r>
    </w:p>
    <w:p w14:paraId="2DF1880A" w14:textId="0EBB77F5" w:rsidR="00926E46" w:rsidRDefault="00926E46" w:rsidP="005831F0">
      <w:pPr>
        <w:pStyle w:val="BodyText"/>
      </w:pPr>
      <w:r>
        <w:t xml:space="preserve">Authorization of 12 months may be granted for members 2 years of age or older for treatment of active </w:t>
      </w:r>
      <w:proofErr w:type="spellStart"/>
      <w:r>
        <w:t>sJIA</w:t>
      </w:r>
      <w:proofErr w:type="spellEnd"/>
      <w:r>
        <w:t xml:space="preserve"> when </w:t>
      </w:r>
      <w:r w:rsidR="000D548B">
        <w:t>the m</w:t>
      </w:r>
      <w:r>
        <w:t>ember has active systemic features (e.g., fever, evanescent rash, lymphadenopathy, hepatomegaly, splenomegaly, serositis).</w:t>
      </w:r>
    </w:p>
    <w:p w14:paraId="047AD159" w14:textId="21C2A9E2" w:rsidR="00416A6D" w:rsidRPr="005831F0" w:rsidRDefault="00416A6D" w:rsidP="00416A6D">
      <w:pPr>
        <w:pStyle w:val="Heading3"/>
        <w:rPr>
          <w:vertAlign w:val="superscript"/>
        </w:rPr>
      </w:pPr>
      <w:r>
        <w:t>Giant cell arteritis (GCA)</w:t>
      </w:r>
      <w:r w:rsidR="00C16620">
        <w:rPr>
          <w:vertAlign w:val="superscript"/>
        </w:rPr>
        <w:t>1</w:t>
      </w:r>
      <w:r w:rsidR="00C30443">
        <w:rPr>
          <w:vertAlign w:val="superscript"/>
        </w:rPr>
        <w:t>-6</w:t>
      </w:r>
      <w:r w:rsidR="008C1FC5">
        <w:rPr>
          <w:vertAlign w:val="superscript"/>
        </w:rPr>
        <w:t>,</w:t>
      </w:r>
      <w:r w:rsidR="00594F46">
        <w:rPr>
          <w:vertAlign w:val="superscript"/>
        </w:rPr>
        <w:t>1</w:t>
      </w:r>
      <w:r w:rsidR="00C30443">
        <w:rPr>
          <w:vertAlign w:val="superscript"/>
        </w:rPr>
        <w:t>3</w:t>
      </w:r>
    </w:p>
    <w:p w14:paraId="76BE062A" w14:textId="7F0C2006" w:rsidR="00416A6D" w:rsidRDefault="00416A6D" w:rsidP="00D769ED">
      <w:pPr>
        <w:pStyle w:val="BodyText"/>
      </w:pPr>
      <w:r>
        <w:t xml:space="preserve">Authorization of 12 months may be granted for adult members for treatment of giant cell arteritis when the member’s diagnosis was confirmed by </w:t>
      </w:r>
      <w:r w:rsidR="00594F46">
        <w:t xml:space="preserve">either of </w:t>
      </w:r>
      <w:r>
        <w:t>the following:</w:t>
      </w:r>
    </w:p>
    <w:p w14:paraId="72FF7A5B" w14:textId="13F20BF7" w:rsidR="00416A6D" w:rsidRDefault="00416A6D" w:rsidP="00416A6D">
      <w:pPr>
        <w:pStyle w:val="ListParagraph"/>
      </w:pPr>
      <w:r>
        <w:t>Temporal artery biopsy or cross-sectional imaging</w:t>
      </w:r>
    </w:p>
    <w:p w14:paraId="7D34EED0" w14:textId="09B52C75" w:rsidR="00416A6D" w:rsidRDefault="00416A6D" w:rsidP="00416A6D">
      <w:pPr>
        <w:pStyle w:val="ListParagraph"/>
      </w:pPr>
      <w:r>
        <w:t>Acute-phase reactant elevation (i.e., high erythrocyte sedimentation rate [ESR] and/or high serum C-reactive protein [CRP]).</w:t>
      </w:r>
    </w:p>
    <w:p w14:paraId="1C43CD45" w14:textId="5A9D69DA" w:rsidR="00416A6D" w:rsidRPr="005831F0" w:rsidRDefault="00416A6D" w:rsidP="00416A6D">
      <w:pPr>
        <w:pStyle w:val="Heading3"/>
        <w:rPr>
          <w:vertAlign w:val="superscript"/>
        </w:rPr>
      </w:pPr>
      <w:r>
        <w:t>Systemic sclerosis-associated interstitial lung disease (</w:t>
      </w:r>
      <w:proofErr w:type="spellStart"/>
      <w:r>
        <w:t>SSc</w:t>
      </w:r>
      <w:proofErr w:type="spellEnd"/>
      <w:r>
        <w:t>-ILD)</w:t>
      </w:r>
      <w:r w:rsidR="00952F7B">
        <w:rPr>
          <w:vertAlign w:val="superscript"/>
        </w:rPr>
        <w:t>1,1</w:t>
      </w:r>
      <w:r w:rsidR="00A7604B">
        <w:rPr>
          <w:vertAlign w:val="superscript"/>
        </w:rPr>
        <w:t>7</w:t>
      </w:r>
      <w:r w:rsidR="00952F7B">
        <w:rPr>
          <w:vertAlign w:val="superscript"/>
        </w:rPr>
        <w:t>,2</w:t>
      </w:r>
      <w:r w:rsidR="00A7604B">
        <w:rPr>
          <w:vertAlign w:val="superscript"/>
        </w:rPr>
        <w:t>3</w:t>
      </w:r>
      <w:r w:rsidR="008C1FC5">
        <w:rPr>
          <w:vertAlign w:val="superscript"/>
        </w:rPr>
        <w:t>,2</w:t>
      </w:r>
      <w:r w:rsidR="00A7604B">
        <w:rPr>
          <w:vertAlign w:val="superscript"/>
        </w:rPr>
        <w:t>4</w:t>
      </w:r>
    </w:p>
    <w:p w14:paraId="1120F6B4" w14:textId="22B3DB89" w:rsidR="00416A6D" w:rsidRDefault="00416A6D" w:rsidP="00D769ED">
      <w:pPr>
        <w:pStyle w:val="BodyText"/>
      </w:pPr>
      <w:r>
        <w:t>Authorization of 12 months may be granted for adult members for treatment of sclerosis-associated interstitial lung disease when the diagnosis was confirmed by a high-resolution computed tomography (HRCT) study of the chest.</w:t>
      </w:r>
    </w:p>
    <w:p w14:paraId="38A5228B" w14:textId="63F2AEFA" w:rsidR="00416A6D" w:rsidRPr="005831F0" w:rsidRDefault="00416A6D" w:rsidP="00416A6D">
      <w:pPr>
        <w:pStyle w:val="Heading3"/>
        <w:rPr>
          <w:vertAlign w:val="superscript"/>
        </w:rPr>
      </w:pPr>
      <w:r>
        <w:t>Cytokine release syndrome</w:t>
      </w:r>
      <w:r w:rsidR="00B8411B">
        <w:rPr>
          <w:vertAlign w:val="superscript"/>
        </w:rPr>
        <w:t>1,</w:t>
      </w:r>
      <w:r w:rsidR="005E3453">
        <w:rPr>
          <w:vertAlign w:val="superscript"/>
        </w:rPr>
        <w:t>7</w:t>
      </w:r>
    </w:p>
    <w:p w14:paraId="322B0F74" w14:textId="3001DB3B" w:rsidR="00416A6D" w:rsidRDefault="00416A6D" w:rsidP="00AD2B75">
      <w:r>
        <w:t xml:space="preserve">Authorization of 1 month may be granted for </w:t>
      </w:r>
      <w:r w:rsidR="00F740C1">
        <w:t xml:space="preserve">the prophylaxis </w:t>
      </w:r>
      <w:r w:rsidR="001E4A5F">
        <w:t>or</w:t>
      </w:r>
      <w:r w:rsidR="00F740C1">
        <w:t xml:space="preserve"> </w:t>
      </w:r>
      <w:r>
        <w:t>treatment of cytokine release syndrome (CRS).</w:t>
      </w:r>
    </w:p>
    <w:p w14:paraId="0FBB588C" w14:textId="702FA467" w:rsidR="00416A6D" w:rsidRPr="005831F0" w:rsidRDefault="00416A6D" w:rsidP="00213342">
      <w:pPr>
        <w:pStyle w:val="Heading3"/>
        <w:keepNext w:val="0"/>
        <w:rPr>
          <w:vertAlign w:val="superscript"/>
        </w:rPr>
      </w:pPr>
      <w:r>
        <w:t>Unicentric Castleman disease</w:t>
      </w:r>
      <w:r w:rsidR="002705E0">
        <w:rPr>
          <w:vertAlign w:val="superscript"/>
        </w:rPr>
        <w:t>7</w:t>
      </w:r>
    </w:p>
    <w:p w14:paraId="2140A2F7" w14:textId="740DBC29" w:rsidR="00416A6D" w:rsidRDefault="00416A6D" w:rsidP="00A13F28">
      <w:pPr>
        <w:pStyle w:val="BodyText"/>
      </w:pPr>
      <w:r>
        <w:t xml:space="preserve">Authorization of 12 months may be granted for treatment of unicentric Castleman disease when </w:t>
      </w:r>
      <w:proofErr w:type="gramStart"/>
      <w:r>
        <w:t>all of</w:t>
      </w:r>
      <w:proofErr w:type="gramEnd"/>
      <w:r>
        <w:t xml:space="preserve"> the following </w:t>
      </w:r>
      <w:r w:rsidR="00301D51">
        <w:t xml:space="preserve">criteria </w:t>
      </w:r>
      <w:r>
        <w:t>are met:</w:t>
      </w:r>
    </w:p>
    <w:p w14:paraId="47B8A8BC" w14:textId="1866EDB5" w:rsidR="00416A6D" w:rsidRDefault="00416A6D" w:rsidP="00677FC0">
      <w:pPr>
        <w:pStyle w:val="ListParagraph"/>
      </w:pPr>
      <w:r>
        <w:t xml:space="preserve">The member is </w:t>
      </w:r>
      <w:r w:rsidR="00BC54D3">
        <w:t>human immuno</w:t>
      </w:r>
      <w:r w:rsidR="0067426B">
        <w:t>deficiency virus (</w:t>
      </w:r>
      <w:r>
        <w:t>HIV</w:t>
      </w:r>
      <w:r w:rsidR="0067426B">
        <w:t>)</w:t>
      </w:r>
      <w:r>
        <w:t>-negative.</w:t>
      </w:r>
    </w:p>
    <w:p w14:paraId="122E0752" w14:textId="05EDCF34" w:rsidR="00416A6D" w:rsidRDefault="00416A6D" w:rsidP="00677FC0">
      <w:pPr>
        <w:pStyle w:val="ListParagraph"/>
      </w:pPr>
      <w:r>
        <w:t>The member is human herpesvirus-8-negative.</w:t>
      </w:r>
    </w:p>
    <w:p w14:paraId="0ADB9229" w14:textId="43802C6C" w:rsidR="00416A6D" w:rsidRDefault="00416A6D" w:rsidP="00677FC0">
      <w:pPr>
        <w:pStyle w:val="ListParagraph"/>
      </w:pPr>
      <w:r>
        <w:lastRenderedPageBreak/>
        <w:t>The requested medication will be used as a single agent.</w:t>
      </w:r>
    </w:p>
    <w:p w14:paraId="193E5263" w14:textId="50AE18D3" w:rsidR="001765F4" w:rsidRDefault="00416A6D" w:rsidP="00677FC0">
      <w:pPr>
        <w:pStyle w:val="ListParagraph"/>
      </w:pPr>
      <w:r>
        <w:t>The disease has progressed following treatment of relapsed/refractory disease</w:t>
      </w:r>
      <w:r w:rsidR="00217AC2">
        <w:t xml:space="preserve"> or has surgically unresectable disease</w:t>
      </w:r>
      <w:r>
        <w:t>.</w:t>
      </w:r>
    </w:p>
    <w:p w14:paraId="42515FB2" w14:textId="6EC2FFB9" w:rsidR="00416A6D" w:rsidRPr="005831F0" w:rsidRDefault="00416A6D" w:rsidP="00416A6D">
      <w:pPr>
        <w:pStyle w:val="Heading3"/>
        <w:rPr>
          <w:vertAlign w:val="superscript"/>
        </w:rPr>
      </w:pPr>
      <w:r>
        <w:t>Multicentric Castleman disease</w:t>
      </w:r>
      <w:r w:rsidR="002705E0">
        <w:rPr>
          <w:vertAlign w:val="superscript"/>
        </w:rPr>
        <w:t>7</w:t>
      </w:r>
    </w:p>
    <w:p w14:paraId="46D0F6EC" w14:textId="6176B317" w:rsidR="00416A6D" w:rsidRDefault="00416A6D" w:rsidP="00A13F28">
      <w:pPr>
        <w:pStyle w:val="BodyText"/>
      </w:pPr>
      <w:r>
        <w:t xml:space="preserve">Authorization of 12 months may be granted for treatment of multicentric Castleman disease when </w:t>
      </w:r>
      <w:r w:rsidR="00B83DD2">
        <w:t>either</w:t>
      </w:r>
      <w:r>
        <w:t xml:space="preserve"> of the following</w:t>
      </w:r>
      <w:r w:rsidR="00FF773C">
        <w:t xml:space="preserve"> criteria</w:t>
      </w:r>
      <w:r>
        <w:t xml:space="preserve"> </w:t>
      </w:r>
      <w:r w:rsidR="00B83DD2">
        <w:t>is</w:t>
      </w:r>
      <w:r>
        <w:t xml:space="preserve"> met:</w:t>
      </w:r>
    </w:p>
    <w:p w14:paraId="67FB90E1" w14:textId="70390962" w:rsidR="00B83DD2" w:rsidRDefault="00B83DD2" w:rsidP="00416A6D">
      <w:pPr>
        <w:pStyle w:val="ListParagraph"/>
      </w:pPr>
      <w:r>
        <w:t xml:space="preserve">The member meets </w:t>
      </w:r>
      <w:r w:rsidR="004A0BF7">
        <w:t>both</w:t>
      </w:r>
      <w:r>
        <w:t xml:space="preserve"> of the following:</w:t>
      </w:r>
    </w:p>
    <w:p w14:paraId="599D8B9B" w14:textId="71FBE7E1" w:rsidR="00416A6D" w:rsidRDefault="00416A6D" w:rsidP="00AD2B75">
      <w:pPr>
        <w:pStyle w:val="ListParagraph"/>
        <w:numPr>
          <w:ilvl w:val="1"/>
          <w:numId w:val="21"/>
        </w:numPr>
      </w:pPr>
      <w:r>
        <w:t>The requested medication will be used as a single agent.</w:t>
      </w:r>
    </w:p>
    <w:p w14:paraId="0C01AB47" w14:textId="38CF9A1E" w:rsidR="00416A6D" w:rsidRDefault="00416A6D" w:rsidP="00B83DD2">
      <w:pPr>
        <w:pStyle w:val="ListParagraph"/>
        <w:numPr>
          <w:ilvl w:val="1"/>
          <w:numId w:val="21"/>
        </w:numPr>
      </w:pPr>
      <w:r>
        <w:t>The disease has progressed following treatment of relapsed/refractory or progressive disease.</w:t>
      </w:r>
    </w:p>
    <w:p w14:paraId="10615134" w14:textId="146CC122" w:rsidR="00B83DD2" w:rsidRDefault="00B83DD2" w:rsidP="00B83DD2">
      <w:pPr>
        <w:pStyle w:val="ListParagraph"/>
      </w:pPr>
      <w:r>
        <w:t xml:space="preserve">The requested medication is being used as a substitute for </w:t>
      </w:r>
      <w:proofErr w:type="spellStart"/>
      <w:r>
        <w:t>siltuximab</w:t>
      </w:r>
      <w:proofErr w:type="spellEnd"/>
      <w:r>
        <w:t xml:space="preserve"> when there is a shortage of </w:t>
      </w:r>
      <w:proofErr w:type="spellStart"/>
      <w:proofErr w:type="gramStart"/>
      <w:r>
        <w:t>siltuximab</w:t>
      </w:r>
      <w:proofErr w:type="spellEnd"/>
      <w:proofErr w:type="gramEnd"/>
      <w:r>
        <w:t xml:space="preserve"> or it is not available</w:t>
      </w:r>
      <w:r w:rsidR="001952B4">
        <w:t>.</w:t>
      </w:r>
    </w:p>
    <w:p w14:paraId="289F5481" w14:textId="49D9433C" w:rsidR="00416A6D" w:rsidRPr="005831F0" w:rsidRDefault="00416A6D" w:rsidP="00416A6D">
      <w:pPr>
        <w:pStyle w:val="Heading3"/>
        <w:rPr>
          <w:vertAlign w:val="superscript"/>
        </w:rPr>
      </w:pPr>
      <w:r>
        <w:t>Immune checkpoint inhibitor-related toxicity</w:t>
      </w:r>
      <w:r w:rsidR="00784953">
        <w:rPr>
          <w:vertAlign w:val="superscript"/>
        </w:rPr>
        <w:t>7</w:t>
      </w:r>
    </w:p>
    <w:p w14:paraId="0379ACA3" w14:textId="5D230C76" w:rsidR="00416A6D" w:rsidRDefault="00416A6D" w:rsidP="00A13F28">
      <w:pPr>
        <w:pStyle w:val="BodyText"/>
      </w:pPr>
      <w:r>
        <w:t xml:space="preserve">Authorization of 12 months may be granted for treatment of immune checkpoint inhibitor-related toxicity when the member has </w:t>
      </w:r>
      <w:r w:rsidR="0024727E">
        <w:t xml:space="preserve">moderate or </w:t>
      </w:r>
      <w:r>
        <w:t>severe immunotherapy-related inflammatory arthritis and either of the following</w:t>
      </w:r>
      <w:r w:rsidR="00BD5139">
        <w:t xml:space="preserve"> criteria</w:t>
      </w:r>
      <w:r w:rsidR="003E155B">
        <w:t xml:space="preserve"> is met</w:t>
      </w:r>
      <w:r>
        <w:t>:</w:t>
      </w:r>
    </w:p>
    <w:p w14:paraId="6DE09F89" w14:textId="2DE31AE4" w:rsidR="00416A6D" w:rsidRDefault="00416A6D" w:rsidP="00416A6D">
      <w:pPr>
        <w:pStyle w:val="ListParagraph"/>
      </w:pPr>
      <w:r>
        <w:t>Member has had an inadequate response to corticosteroids or a conventional synthetic drug (e.g., methotrexate, sulfasalazine, leflunomide, hydroxychloroquine).</w:t>
      </w:r>
    </w:p>
    <w:p w14:paraId="5D553F0F" w14:textId="31857ED9" w:rsidR="00416A6D" w:rsidRDefault="00416A6D" w:rsidP="00416A6D">
      <w:pPr>
        <w:pStyle w:val="ListParagraph"/>
      </w:pPr>
      <w:r>
        <w:t>Member has an intolerance or contraindication to corticosteroids and a conventional synthetic drug</w:t>
      </w:r>
      <w:r w:rsidR="00397C76">
        <w:t xml:space="preserve"> (e.g., methotrexate, sulfasalazine, leflunomide, hydroxychloroquine).</w:t>
      </w:r>
    </w:p>
    <w:p w14:paraId="56964176" w14:textId="77777777" w:rsidR="00107151" w:rsidRPr="005E0E6A" w:rsidRDefault="00107151" w:rsidP="00107151">
      <w:pPr>
        <w:pStyle w:val="BodyText"/>
      </w:pPr>
      <w:r w:rsidRPr="005E0E6A">
        <w:t>Authorization of 6 months may be granted for treatment of immune checkpoint inhibitor-related toxicity when either of the following criteria is met:</w:t>
      </w:r>
    </w:p>
    <w:p w14:paraId="5D5A3C1C" w14:textId="77777777" w:rsidR="00107151" w:rsidRPr="005E0E6A" w:rsidRDefault="00107151" w:rsidP="00107151">
      <w:pPr>
        <w:pStyle w:val="ListParagraph"/>
        <w:numPr>
          <w:ilvl w:val="0"/>
          <w:numId w:val="32"/>
        </w:numPr>
      </w:pPr>
      <w:r w:rsidRPr="005E0E6A">
        <w:t>Member has had an inadequate response to systemic corticosteroids.</w:t>
      </w:r>
    </w:p>
    <w:p w14:paraId="67F92AAF" w14:textId="70F821A4" w:rsidR="00107151" w:rsidRDefault="00107151" w:rsidP="00AD2B75">
      <w:pPr>
        <w:pStyle w:val="ListParagraph"/>
        <w:numPr>
          <w:ilvl w:val="0"/>
          <w:numId w:val="32"/>
        </w:numPr>
      </w:pPr>
      <w:r w:rsidRPr="005E0E6A">
        <w:t>Member has an intolerance or contraindication to corticosteroids.</w:t>
      </w:r>
    </w:p>
    <w:p w14:paraId="65317AC3" w14:textId="2EF52559" w:rsidR="00416A6D" w:rsidRPr="005831F0" w:rsidRDefault="00416A6D" w:rsidP="00416A6D">
      <w:pPr>
        <w:pStyle w:val="Heading3"/>
        <w:rPr>
          <w:vertAlign w:val="superscript"/>
        </w:rPr>
      </w:pPr>
      <w:r>
        <w:t>Acute graft versus host disease</w:t>
      </w:r>
      <w:r w:rsidR="00784953">
        <w:rPr>
          <w:vertAlign w:val="superscript"/>
        </w:rPr>
        <w:t>7</w:t>
      </w:r>
    </w:p>
    <w:p w14:paraId="363F6A39" w14:textId="77777777" w:rsidR="00416A6D" w:rsidRDefault="00416A6D" w:rsidP="00A13F28">
      <w:pPr>
        <w:pStyle w:val="BodyText"/>
      </w:pPr>
      <w:r>
        <w:t>Authorization of 12 months may be granted for treatment of acute graft versus host disease when either of the following criteria is met:</w:t>
      </w:r>
    </w:p>
    <w:p w14:paraId="39DAEF50" w14:textId="69601D8D" w:rsidR="00416A6D" w:rsidRDefault="00416A6D" w:rsidP="00416A6D">
      <w:pPr>
        <w:pStyle w:val="ListParagraph"/>
      </w:pPr>
      <w:r>
        <w:t xml:space="preserve">Member has </w:t>
      </w:r>
      <w:r w:rsidR="00AB797A">
        <w:t>had</w:t>
      </w:r>
      <w:r>
        <w:t xml:space="preserve"> an inadequate response to systemic corticosteroids.</w:t>
      </w:r>
    </w:p>
    <w:p w14:paraId="440EDC56" w14:textId="0F8323F7" w:rsidR="00416A6D" w:rsidRDefault="00416A6D" w:rsidP="00416A6D">
      <w:pPr>
        <w:pStyle w:val="ListParagraph"/>
      </w:pPr>
      <w:r>
        <w:t>Member has an intolerance or contraindication to corticosteroids.</w:t>
      </w:r>
    </w:p>
    <w:p w14:paraId="02637B76" w14:textId="0DA684ED" w:rsidR="00C176A0" w:rsidRDefault="00372D58" w:rsidP="00B77D18">
      <w:pPr>
        <w:pStyle w:val="Heading3"/>
        <w:rPr>
          <w:vertAlign w:val="superscript"/>
        </w:rPr>
      </w:pPr>
      <w:r>
        <w:t>Polymyalgia rheumatica (PMR)</w:t>
      </w:r>
      <w:r w:rsidR="00784953">
        <w:rPr>
          <w:vertAlign w:val="superscript"/>
        </w:rPr>
        <w:t>7</w:t>
      </w:r>
    </w:p>
    <w:p w14:paraId="7A5DDA94" w14:textId="6DA7AC5F" w:rsidR="00B77D18" w:rsidRDefault="00CA1FC0" w:rsidP="00B77D18">
      <w:pPr>
        <w:pStyle w:val="BodyText"/>
      </w:pPr>
      <w:r w:rsidRPr="00CA1FC0">
        <w:t>Authorization of 12 months may be granted for treatment of polymyalgia rheumatica (PMR) when any of the following criteria is met:</w:t>
      </w:r>
    </w:p>
    <w:p w14:paraId="0C620C2D" w14:textId="275A9872" w:rsidR="00CA1FC0" w:rsidRDefault="00287F2F" w:rsidP="00AD2B75">
      <w:pPr>
        <w:pStyle w:val="ListParagraph"/>
      </w:pPr>
      <w:r>
        <w:t xml:space="preserve">Member has </w:t>
      </w:r>
      <w:r w:rsidR="00497342">
        <w:t>had</w:t>
      </w:r>
      <w:r>
        <w:t xml:space="preserve"> an inadequate response to systemic </w:t>
      </w:r>
      <w:r w:rsidR="004C5596">
        <w:t>corticosteroids</w:t>
      </w:r>
      <w:r>
        <w:t>.</w:t>
      </w:r>
    </w:p>
    <w:p w14:paraId="143E7B10" w14:textId="5997084E" w:rsidR="00287F2F" w:rsidRDefault="00287F2F" w:rsidP="00AD2B75">
      <w:pPr>
        <w:pStyle w:val="ListParagraph"/>
      </w:pPr>
      <w:r>
        <w:t xml:space="preserve">Member has </w:t>
      </w:r>
      <w:r w:rsidR="00497342">
        <w:t xml:space="preserve">had </w:t>
      </w:r>
      <w:r>
        <w:t>a disease flare during a taper with systemic corticosteroids.</w:t>
      </w:r>
    </w:p>
    <w:p w14:paraId="229DC91F" w14:textId="12268FB3" w:rsidR="00287F2F" w:rsidRDefault="00287F2F" w:rsidP="00AD2B75">
      <w:pPr>
        <w:pStyle w:val="ListParagraph"/>
      </w:pPr>
      <w:r>
        <w:t xml:space="preserve">Member has </w:t>
      </w:r>
      <w:r w:rsidR="00497342">
        <w:t xml:space="preserve">had </w:t>
      </w:r>
      <w:r w:rsidR="00A6039C" w:rsidRPr="00A6039C">
        <w:t>an inadequate response to methotrexate.</w:t>
      </w:r>
    </w:p>
    <w:p w14:paraId="7BB69DAB" w14:textId="6C638710" w:rsidR="00A6039C" w:rsidRPr="00B77D18" w:rsidRDefault="004C5596" w:rsidP="00AD2B75">
      <w:pPr>
        <w:pStyle w:val="ListParagraph"/>
      </w:pPr>
      <w:r w:rsidRPr="004C5596">
        <w:lastRenderedPageBreak/>
        <w:t xml:space="preserve">Member has </w:t>
      </w:r>
      <w:r w:rsidR="00497342">
        <w:t>had</w:t>
      </w:r>
      <w:r w:rsidR="00497342" w:rsidRPr="004C5596">
        <w:t xml:space="preserve"> </w:t>
      </w:r>
      <w:r w:rsidRPr="004C5596">
        <w:t>an intolerance or contraindication to both systemic corticosteroids and methotrexate (see Appendix A).</w:t>
      </w:r>
    </w:p>
    <w:p w14:paraId="3A643EC3" w14:textId="651A3BEA" w:rsidR="00A501AC" w:rsidRPr="00BD1CC1" w:rsidRDefault="00A501AC" w:rsidP="00213342">
      <w:pPr>
        <w:pStyle w:val="Heading2"/>
        <w:spacing w:before="240"/>
      </w:pPr>
      <w:r w:rsidRPr="00BD1CC1">
        <w:t>Continuation of Therapy</w:t>
      </w:r>
    </w:p>
    <w:p w14:paraId="270E2310" w14:textId="2EC9B968" w:rsidR="002C0944" w:rsidRPr="005831F0" w:rsidRDefault="002C0944" w:rsidP="002C0944">
      <w:pPr>
        <w:pStyle w:val="Heading3"/>
        <w:rPr>
          <w:vertAlign w:val="superscript"/>
        </w:rPr>
      </w:pPr>
      <w:r w:rsidRPr="002C0944">
        <w:t>Rheumatoid arthritis (RA)</w:t>
      </w:r>
      <w:r w:rsidR="00ED490E">
        <w:rPr>
          <w:vertAlign w:val="superscript"/>
        </w:rPr>
        <w:t>1-</w:t>
      </w:r>
      <w:r w:rsidR="001A4AA6">
        <w:rPr>
          <w:vertAlign w:val="superscript"/>
        </w:rPr>
        <w:t>6</w:t>
      </w:r>
      <w:r w:rsidR="00ED490E">
        <w:rPr>
          <w:vertAlign w:val="superscript"/>
        </w:rPr>
        <w:t>,</w:t>
      </w:r>
      <w:r w:rsidR="001A4AA6">
        <w:rPr>
          <w:vertAlign w:val="superscript"/>
        </w:rPr>
        <w:t>8</w:t>
      </w:r>
      <w:r w:rsidR="00ED490E">
        <w:rPr>
          <w:vertAlign w:val="superscript"/>
        </w:rPr>
        <w:t>,</w:t>
      </w:r>
      <w:r w:rsidR="001A4AA6">
        <w:rPr>
          <w:vertAlign w:val="superscript"/>
        </w:rPr>
        <w:t>9</w:t>
      </w:r>
      <w:r w:rsidR="00ED490E">
        <w:rPr>
          <w:vertAlign w:val="superscript"/>
        </w:rPr>
        <w:t>,1</w:t>
      </w:r>
      <w:r w:rsidR="001A4AA6">
        <w:rPr>
          <w:vertAlign w:val="superscript"/>
        </w:rPr>
        <w:t>6</w:t>
      </w:r>
      <w:r w:rsidR="00ED490E">
        <w:rPr>
          <w:vertAlign w:val="superscript"/>
        </w:rPr>
        <w:t>,1</w:t>
      </w:r>
      <w:r w:rsidR="001A4AA6">
        <w:rPr>
          <w:vertAlign w:val="superscript"/>
        </w:rPr>
        <w:t>8</w:t>
      </w:r>
      <w:r w:rsidR="00ED490E">
        <w:rPr>
          <w:vertAlign w:val="superscript"/>
        </w:rPr>
        <w:t>-1</w:t>
      </w:r>
      <w:r w:rsidR="001A4AA6">
        <w:rPr>
          <w:vertAlign w:val="superscript"/>
        </w:rPr>
        <w:t>9</w:t>
      </w:r>
    </w:p>
    <w:p w14:paraId="65542BE1" w14:textId="055A9912" w:rsidR="002C0944" w:rsidRPr="002C0944" w:rsidRDefault="002C0944" w:rsidP="002C0944">
      <w:pPr>
        <w:pStyle w:val="BodyText"/>
      </w:pPr>
      <w:r w:rsidRPr="002C0944">
        <w:t>Authorization of 12 months may be granted for all adult members (including new members) who are using the requested medication for moderately to severely active RA and who achieve or maintain a positive clinical response as evidenced by disease activity improvement of at least 20% from baseline in tender joint count, swollen joint count, pain, or disability.</w:t>
      </w:r>
    </w:p>
    <w:p w14:paraId="69244242" w14:textId="1363E7E1" w:rsidR="002C0944" w:rsidRPr="005831F0" w:rsidRDefault="002C0944" w:rsidP="002C0944">
      <w:pPr>
        <w:pStyle w:val="Heading3"/>
        <w:rPr>
          <w:vertAlign w:val="superscript"/>
        </w:rPr>
      </w:pPr>
      <w:r w:rsidRPr="002C0944">
        <w:t>Articular juvenile idiopathic arthritis</w:t>
      </w:r>
      <w:r w:rsidR="00ED490E">
        <w:rPr>
          <w:vertAlign w:val="superscript"/>
        </w:rPr>
        <w:t>1-</w:t>
      </w:r>
      <w:r w:rsidR="0055149B">
        <w:rPr>
          <w:vertAlign w:val="superscript"/>
        </w:rPr>
        <w:t>6</w:t>
      </w:r>
      <w:r w:rsidR="003B597D">
        <w:rPr>
          <w:vertAlign w:val="superscript"/>
        </w:rPr>
        <w:t>,</w:t>
      </w:r>
      <w:r w:rsidR="00992CAF">
        <w:rPr>
          <w:vertAlign w:val="superscript"/>
        </w:rPr>
        <w:t>1</w:t>
      </w:r>
      <w:r w:rsidR="0055149B">
        <w:rPr>
          <w:vertAlign w:val="superscript"/>
        </w:rPr>
        <w:t>2</w:t>
      </w:r>
      <w:r w:rsidR="003B597D">
        <w:rPr>
          <w:vertAlign w:val="superscript"/>
        </w:rPr>
        <w:t>,</w:t>
      </w:r>
      <w:r w:rsidR="0055149B">
        <w:rPr>
          <w:vertAlign w:val="superscript"/>
        </w:rPr>
        <w:t>21</w:t>
      </w:r>
    </w:p>
    <w:p w14:paraId="2F0ED0EB" w14:textId="77777777" w:rsidR="002C0944" w:rsidRPr="002C0944" w:rsidRDefault="002C0944" w:rsidP="002C0944">
      <w:pPr>
        <w:pStyle w:val="BodyText"/>
      </w:pPr>
      <w:r w:rsidRPr="002C0944">
        <w:t>Authorization of 12 months may be granted for all members 2 years of age or older (including new members) who are using the requested medication for active articular juvenile idiopathic arthritis and who achieve or maintain a positive clinical response as evidenced by low disease activity or improvement in signs and symptoms of the condition when there is improvement in any of the following from baseline:</w:t>
      </w:r>
    </w:p>
    <w:p w14:paraId="66719345" w14:textId="3D144561" w:rsidR="002C0944" w:rsidRPr="002C0944" w:rsidRDefault="002C0944" w:rsidP="002C0944">
      <w:pPr>
        <w:pStyle w:val="ListParagraph"/>
      </w:pPr>
      <w:r w:rsidRPr="002C0944">
        <w:t>Number of joints with active arthritis (e.g., swelling, pain, limitation of motion)</w:t>
      </w:r>
    </w:p>
    <w:p w14:paraId="2E2BBE58" w14:textId="0E35B2AD" w:rsidR="002C0944" w:rsidRPr="002C0944" w:rsidRDefault="002C0944" w:rsidP="002C0944">
      <w:pPr>
        <w:pStyle w:val="ListParagraph"/>
      </w:pPr>
      <w:r w:rsidRPr="002C0944">
        <w:t>Number of joints with limitation of movement</w:t>
      </w:r>
    </w:p>
    <w:p w14:paraId="1E674BF1" w14:textId="394E2FD4" w:rsidR="002C0944" w:rsidRPr="002C0944" w:rsidRDefault="002C0944" w:rsidP="002C0944">
      <w:pPr>
        <w:pStyle w:val="ListParagraph"/>
      </w:pPr>
      <w:r w:rsidRPr="002C0944">
        <w:t>Functional ability</w:t>
      </w:r>
    </w:p>
    <w:p w14:paraId="7BD92B26" w14:textId="7D04B05E" w:rsidR="002C0944" w:rsidRPr="005831F0" w:rsidRDefault="002C0944" w:rsidP="002C0944">
      <w:pPr>
        <w:pStyle w:val="Heading3"/>
        <w:rPr>
          <w:vertAlign w:val="superscript"/>
        </w:rPr>
      </w:pPr>
      <w:r w:rsidRPr="002C0944">
        <w:t>Systemic juvenile idiopathic arthritis (</w:t>
      </w:r>
      <w:proofErr w:type="spellStart"/>
      <w:r w:rsidRPr="002C0944">
        <w:t>sJIA</w:t>
      </w:r>
      <w:proofErr w:type="spellEnd"/>
      <w:r w:rsidRPr="002C0944">
        <w:t>)</w:t>
      </w:r>
      <w:r w:rsidR="003B597D">
        <w:rPr>
          <w:vertAlign w:val="superscript"/>
        </w:rPr>
        <w:t>1-</w:t>
      </w:r>
      <w:r w:rsidR="008631F0">
        <w:rPr>
          <w:vertAlign w:val="superscript"/>
        </w:rPr>
        <w:t>6</w:t>
      </w:r>
      <w:r w:rsidR="003B597D">
        <w:rPr>
          <w:vertAlign w:val="superscript"/>
        </w:rPr>
        <w:t>,</w:t>
      </w:r>
      <w:r w:rsidR="008631F0">
        <w:rPr>
          <w:vertAlign w:val="superscript"/>
        </w:rPr>
        <w:t>11</w:t>
      </w:r>
      <w:r w:rsidR="003B597D">
        <w:rPr>
          <w:vertAlign w:val="superscript"/>
        </w:rPr>
        <w:t>,</w:t>
      </w:r>
      <w:r w:rsidR="008631F0">
        <w:rPr>
          <w:vertAlign w:val="superscript"/>
        </w:rPr>
        <w:t>21</w:t>
      </w:r>
    </w:p>
    <w:p w14:paraId="55593F66" w14:textId="77777777" w:rsidR="002C0944" w:rsidRPr="002C0944" w:rsidRDefault="002C0944" w:rsidP="002C0944">
      <w:pPr>
        <w:pStyle w:val="BodyText"/>
      </w:pPr>
      <w:r w:rsidRPr="002C0944">
        <w:t xml:space="preserve">Authorization of 12 months may be granted for all members 2 years of age or older (including new members) who are using the requested medication for </w:t>
      </w:r>
      <w:proofErr w:type="spellStart"/>
      <w:r w:rsidRPr="002C0944">
        <w:t>sJIA</w:t>
      </w:r>
      <w:proofErr w:type="spellEnd"/>
      <w:r w:rsidRPr="002C0944">
        <w:t xml:space="preserve"> and who achieve or maintain a positive clinical response as evidenced by low disease activity or improvement in signs and symptoms of the condition when there is improvement in any of the following from baseline:</w:t>
      </w:r>
    </w:p>
    <w:p w14:paraId="5BE209CA" w14:textId="0C21EB4B" w:rsidR="002C0944" w:rsidRPr="002C0944" w:rsidRDefault="002C0944" w:rsidP="002C0944">
      <w:pPr>
        <w:pStyle w:val="ListParagraph"/>
      </w:pPr>
      <w:r w:rsidRPr="002C0944">
        <w:t>Number of joints with active arthritis (e.g., swelling, pain, limitation of motion)</w:t>
      </w:r>
    </w:p>
    <w:p w14:paraId="099E6D24" w14:textId="27E07FF8" w:rsidR="002C0944" w:rsidRPr="002C0944" w:rsidRDefault="002C0944" w:rsidP="002C0944">
      <w:pPr>
        <w:pStyle w:val="ListParagraph"/>
      </w:pPr>
      <w:r w:rsidRPr="002C0944">
        <w:t>Number of joints with limitation of movement</w:t>
      </w:r>
    </w:p>
    <w:p w14:paraId="1DCDC0FE" w14:textId="7F5819B1" w:rsidR="002C0944" w:rsidRPr="002C0944" w:rsidRDefault="002C0944" w:rsidP="002C0944">
      <w:pPr>
        <w:pStyle w:val="ListParagraph"/>
      </w:pPr>
      <w:r w:rsidRPr="002C0944">
        <w:t>Functional ability</w:t>
      </w:r>
    </w:p>
    <w:p w14:paraId="140600D8" w14:textId="7EEE29BE" w:rsidR="002C0944" w:rsidRPr="002C0944" w:rsidRDefault="002C0944" w:rsidP="002C0944">
      <w:pPr>
        <w:pStyle w:val="ListParagraph"/>
      </w:pPr>
      <w:r w:rsidRPr="002C0944">
        <w:t>Systemic features (e.g., fever, evanescent rash, lymphadenopathy, hepatomegaly, splenomegaly, serositis)</w:t>
      </w:r>
    </w:p>
    <w:p w14:paraId="455B2D38" w14:textId="37EF0DEB" w:rsidR="002C0944" w:rsidRPr="005831F0" w:rsidRDefault="002C0944" w:rsidP="002C0944">
      <w:pPr>
        <w:pStyle w:val="Heading3"/>
        <w:rPr>
          <w:vertAlign w:val="superscript"/>
        </w:rPr>
      </w:pPr>
      <w:r w:rsidRPr="002C0944">
        <w:t>Giant cell arteritis (GCA)</w:t>
      </w:r>
      <w:r w:rsidR="003B597D">
        <w:rPr>
          <w:vertAlign w:val="superscript"/>
        </w:rPr>
        <w:t>1,1</w:t>
      </w:r>
      <w:r w:rsidR="00801ED5">
        <w:rPr>
          <w:vertAlign w:val="superscript"/>
        </w:rPr>
        <w:t>4</w:t>
      </w:r>
    </w:p>
    <w:p w14:paraId="55E29383" w14:textId="77777777" w:rsidR="002C0944" w:rsidRPr="002C0944" w:rsidRDefault="002C0944" w:rsidP="002C0944">
      <w:pPr>
        <w:pStyle w:val="BodyText"/>
      </w:pPr>
      <w:r w:rsidRPr="002C0944">
        <w:t>Authorization of 12 months may be granted for all adult members (including new members) who are using the requested medication for GCA and who achieve or maintain a positive clinical response as evidenced by low disease activity or improvement in signs and symptoms of the condition when there is improvement in any of the following from baseline:</w:t>
      </w:r>
    </w:p>
    <w:p w14:paraId="7041DE15" w14:textId="0CD31CFF" w:rsidR="002C0944" w:rsidRPr="002C0944" w:rsidRDefault="002C0944" w:rsidP="002C0944">
      <w:pPr>
        <w:pStyle w:val="ListParagraph"/>
      </w:pPr>
      <w:r w:rsidRPr="002C0944">
        <w:t>Headaches</w:t>
      </w:r>
    </w:p>
    <w:p w14:paraId="29F1AF23" w14:textId="1CA405CF" w:rsidR="002C0944" w:rsidRPr="002C0944" w:rsidRDefault="002C0944" w:rsidP="002C0944">
      <w:pPr>
        <w:pStyle w:val="ListParagraph"/>
      </w:pPr>
      <w:r w:rsidRPr="002C0944">
        <w:t>Scalp tenderness</w:t>
      </w:r>
    </w:p>
    <w:p w14:paraId="37D88D95" w14:textId="4D03F972" w:rsidR="002C0944" w:rsidRPr="002C0944" w:rsidRDefault="002C0944" w:rsidP="002C0944">
      <w:pPr>
        <w:pStyle w:val="ListParagraph"/>
      </w:pPr>
      <w:r w:rsidRPr="002C0944">
        <w:t>Tenderness and/or thickening of superficial temporal arteries</w:t>
      </w:r>
    </w:p>
    <w:p w14:paraId="09BC6BFE" w14:textId="5D446187" w:rsidR="002C0944" w:rsidRPr="002C0944" w:rsidRDefault="002C0944" w:rsidP="002C0944">
      <w:pPr>
        <w:pStyle w:val="ListParagraph"/>
      </w:pPr>
      <w:r w:rsidRPr="002C0944">
        <w:lastRenderedPageBreak/>
        <w:t>Constitutional symptoms (e.g., weight loss, fever, fatigue, night sweats)</w:t>
      </w:r>
    </w:p>
    <w:p w14:paraId="1C87A11A" w14:textId="32EFC767" w:rsidR="002C0944" w:rsidRPr="002C0944" w:rsidRDefault="002C0944" w:rsidP="002C0944">
      <w:pPr>
        <w:pStyle w:val="ListParagraph"/>
      </w:pPr>
      <w:r w:rsidRPr="002C0944">
        <w:t>Jaw and/or tongue claudication</w:t>
      </w:r>
    </w:p>
    <w:p w14:paraId="1A3C3445" w14:textId="19830BD1" w:rsidR="002C0944" w:rsidRPr="002C0944" w:rsidRDefault="002C0944" w:rsidP="002C0944">
      <w:pPr>
        <w:pStyle w:val="ListParagraph"/>
      </w:pPr>
      <w:r w:rsidRPr="002C0944">
        <w:t>Acute visual symptoms (e.g., amaurosis fugax, acute visual loss, diplopia)</w:t>
      </w:r>
    </w:p>
    <w:p w14:paraId="12ADFC08" w14:textId="075F5156" w:rsidR="002C0944" w:rsidRPr="002C0944" w:rsidRDefault="002C0944" w:rsidP="002C0944">
      <w:pPr>
        <w:pStyle w:val="ListParagraph"/>
      </w:pPr>
      <w:r w:rsidRPr="002C0944">
        <w:t>Symptoms of polymyalgia rheumatica (e.g., shoulder and/or hip girdle pain)</w:t>
      </w:r>
    </w:p>
    <w:p w14:paraId="23B8EB55" w14:textId="21681D85" w:rsidR="002C0944" w:rsidRPr="0029040C" w:rsidRDefault="002C0944" w:rsidP="002C0944">
      <w:pPr>
        <w:pStyle w:val="ListParagraph"/>
      </w:pPr>
      <w:r w:rsidRPr="002C0944">
        <w:t>Limb claudication</w:t>
      </w:r>
    </w:p>
    <w:p w14:paraId="0828E0D1" w14:textId="6493A4E5" w:rsidR="002C0944" w:rsidRPr="005831F0" w:rsidRDefault="002C0944" w:rsidP="002C0944">
      <w:pPr>
        <w:pStyle w:val="Heading3"/>
        <w:rPr>
          <w:vertAlign w:val="superscript"/>
        </w:rPr>
      </w:pPr>
      <w:r w:rsidRPr="002C0944">
        <w:t>Systemic sclerosis-associated interstitial lung disease (</w:t>
      </w:r>
      <w:proofErr w:type="spellStart"/>
      <w:r w:rsidRPr="002C0944">
        <w:t>SSc</w:t>
      </w:r>
      <w:proofErr w:type="spellEnd"/>
      <w:r w:rsidRPr="002C0944">
        <w:t>-ILD)</w:t>
      </w:r>
      <w:r w:rsidR="004310DD">
        <w:rPr>
          <w:vertAlign w:val="superscript"/>
        </w:rPr>
        <w:t>1</w:t>
      </w:r>
    </w:p>
    <w:p w14:paraId="38F0EAD9" w14:textId="3B1DB8FF" w:rsidR="002C0944" w:rsidRPr="002C0944" w:rsidRDefault="002C0944" w:rsidP="0029040C">
      <w:pPr>
        <w:pStyle w:val="BodyText"/>
      </w:pPr>
      <w:r w:rsidRPr="002C0944">
        <w:t xml:space="preserve">Authorization of 12 months may be granted for all adult members (including new members) who are using the requested medication for </w:t>
      </w:r>
      <w:proofErr w:type="spellStart"/>
      <w:r w:rsidRPr="002C0944">
        <w:t>SSc</w:t>
      </w:r>
      <w:proofErr w:type="spellEnd"/>
      <w:r w:rsidRPr="002C0944">
        <w:t>-ILD when the member is currently receiving treatment with Actemra</w:t>
      </w:r>
      <w:r w:rsidR="004310DD">
        <w:t xml:space="preserve"> or </w:t>
      </w:r>
      <w:proofErr w:type="spellStart"/>
      <w:r w:rsidR="004310DD">
        <w:t>Tyenne</w:t>
      </w:r>
      <w:proofErr w:type="spellEnd"/>
      <w:r w:rsidRPr="002C0944">
        <w:t>.</w:t>
      </w:r>
    </w:p>
    <w:p w14:paraId="0D6E5FA0" w14:textId="41416421" w:rsidR="002C0944" w:rsidRPr="002C0944" w:rsidRDefault="002C0944" w:rsidP="002C0944">
      <w:pPr>
        <w:pStyle w:val="Heading3"/>
      </w:pPr>
      <w:r w:rsidRPr="002C0944">
        <w:t xml:space="preserve">Immune checkpoint inhibitor-related </w:t>
      </w:r>
      <w:r w:rsidR="00370E1C">
        <w:t>inflammatory arthritis</w:t>
      </w:r>
    </w:p>
    <w:p w14:paraId="5357A573" w14:textId="227064F2" w:rsidR="002C0944" w:rsidRPr="002C0944" w:rsidRDefault="002C0944" w:rsidP="0029040C">
      <w:pPr>
        <w:pStyle w:val="BodyText"/>
      </w:pPr>
      <w:r w:rsidRPr="002C0944">
        <w:t>Authorization of 12 months may be granted for all members (including new members) who are using the requested medication for immunotherapy-related inflammatory arthritis and who achieve or maintain a positive clinical response with the requested medication as evidenced by low disease activity or improvement in signs and symptoms of the condition.</w:t>
      </w:r>
    </w:p>
    <w:p w14:paraId="64731C1E" w14:textId="237E940B" w:rsidR="002C0944" w:rsidRPr="002C0944" w:rsidRDefault="00A6063B" w:rsidP="002C0944">
      <w:pPr>
        <w:pStyle w:val="Heading3"/>
      </w:pPr>
      <w:r w:rsidRPr="00EE18BD">
        <w:t>Cytokine release syndrome</w:t>
      </w:r>
      <w:r>
        <w:t>, a</w:t>
      </w:r>
      <w:r w:rsidR="002C0944" w:rsidRPr="002C0944">
        <w:t>cute graft versus host disease</w:t>
      </w:r>
      <w:r w:rsidR="00370E1C">
        <w:t>, and immune checkpoint inhibitor-related toxicity</w:t>
      </w:r>
    </w:p>
    <w:p w14:paraId="46DA1B8C" w14:textId="2B057BD2" w:rsidR="002C0944" w:rsidRPr="002C0944" w:rsidRDefault="002C0944" w:rsidP="0029040C">
      <w:pPr>
        <w:pStyle w:val="BodyText"/>
      </w:pPr>
      <w:r w:rsidRPr="002C0944">
        <w:t>All members (including new members) requesting authorization for continuation of therapy must meet all initial authorization criteria.</w:t>
      </w:r>
    </w:p>
    <w:p w14:paraId="385FB6E1" w14:textId="08C50970" w:rsidR="002C0944" w:rsidRPr="002C0944" w:rsidRDefault="00AD1EC9" w:rsidP="002C0944">
      <w:pPr>
        <w:pStyle w:val="Heading3"/>
      </w:pPr>
      <w:r>
        <w:t>Unicentric Castleman disease and Multicentric Castleman disease</w:t>
      </w:r>
    </w:p>
    <w:p w14:paraId="468B8920" w14:textId="67E32A69" w:rsidR="0029040C" w:rsidRDefault="002C0944" w:rsidP="0029040C">
      <w:pPr>
        <w:pStyle w:val="BodyText"/>
      </w:pPr>
      <w:r w:rsidRPr="002C0944">
        <w:t xml:space="preserve">Authorization of 12 months may be granted for continued treatment in members </w:t>
      </w:r>
      <w:r w:rsidR="00B16D0F">
        <w:t>(including new members) who are using the requested</w:t>
      </w:r>
      <w:r w:rsidR="00891D64">
        <w:t xml:space="preserve"> medication</w:t>
      </w:r>
      <w:r w:rsidRPr="002C0944">
        <w:t xml:space="preserve"> for </w:t>
      </w:r>
      <w:r w:rsidR="00891D64">
        <w:t>Unicentric Castleman disease or Multicentric Castleman disease</w:t>
      </w:r>
      <w:r w:rsidRPr="002C0944">
        <w:t xml:space="preserve"> when there is no evidence of unacceptable toxicity or disease progression while on the current regimen.</w:t>
      </w:r>
    </w:p>
    <w:p w14:paraId="4A725720" w14:textId="2FDE5DB7" w:rsidR="007217B1" w:rsidRDefault="007217B1" w:rsidP="007217B1">
      <w:pPr>
        <w:pStyle w:val="Heading3"/>
      </w:pPr>
      <w:r>
        <w:t>Polymyalgia rheumatica (PMR)</w:t>
      </w:r>
    </w:p>
    <w:p w14:paraId="76792A42" w14:textId="1BC87FFA" w:rsidR="007217B1" w:rsidRDefault="007217B1" w:rsidP="007217B1">
      <w:pPr>
        <w:pStyle w:val="BodyText"/>
      </w:pPr>
      <w:r>
        <w:t xml:space="preserve">Authorization of 12 months may be granted for continued treatment in members who are using the requested medication for PMR and who achieve </w:t>
      </w:r>
      <w:r w:rsidR="00E77A27">
        <w:t>or maintain a positive clinical response as evidenced by low disease activity or improvement in signs and symptoms of the condition when there is improvement in any of the following from baseline:</w:t>
      </w:r>
    </w:p>
    <w:p w14:paraId="0461CCB5" w14:textId="28440AF1" w:rsidR="00E77A27" w:rsidRDefault="00533197" w:rsidP="00AD2B75">
      <w:pPr>
        <w:pStyle w:val="ListParagraph"/>
      </w:pPr>
      <w:r>
        <w:t>Morning stiffness</w:t>
      </w:r>
    </w:p>
    <w:p w14:paraId="6A4FCC47" w14:textId="1BB774D3" w:rsidR="00533197" w:rsidRDefault="00533197" w:rsidP="00AD2B75">
      <w:pPr>
        <w:pStyle w:val="ListParagraph"/>
      </w:pPr>
      <w:r>
        <w:t>Hip or shoulder pain</w:t>
      </w:r>
    </w:p>
    <w:p w14:paraId="71C5FAA4" w14:textId="024091CD" w:rsidR="00533197" w:rsidRDefault="00533197" w:rsidP="00AD2B75">
      <w:pPr>
        <w:pStyle w:val="ListParagraph"/>
      </w:pPr>
      <w:r>
        <w:t>Hip or shoulder range of motion</w:t>
      </w:r>
    </w:p>
    <w:p w14:paraId="7EC4C2B1" w14:textId="0ECD117C" w:rsidR="00533197" w:rsidRPr="005831F0" w:rsidRDefault="00533197" w:rsidP="00AD2B75">
      <w:pPr>
        <w:pStyle w:val="ListParagraph"/>
      </w:pPr>
      <w:r>
        <w:t>C-reactive protein (CRP) and/or erythrocyte sedimentation rate (ESR)</w:t>
      </w:r>
    </w:p>
    <w:p w14:paraId="05B6DEFF" w14:textId="391EC27F" w:rsidR="008B1332" w:rsidRPr="005831F0" w:rsidRDefault="008B1332" w:rsidP="000E31B1">
      <w:pPr>
        <w:pStyle w:val="Heading2"/>
        <w:spacing w:before="240"/>
        <w:rPr>
          <w:vertAlign w:val="superscript"/>
        </w:rPr>
      </w:pPr>
      <w:r w:rsidRPr="00BD1CC1">
        <w:lastRenderedPageBreak/>
        <w:t>Other</w:t>
      </w:r>
      <w:r w:rsidR="009F5892" w:rsidRPr="005831F0">
        <w:rPr>
          <w:b w:val="0"/>
          <w:bCs w:val="0"/>
          <w:vertAlign w:val="superscript"/>
        </w:rPr>
        <w:t>1-</w:t>
      </w:r>
      <w:r w:rsidR="00AD5418">
        <w:rPr>
          <w:b w:val="0"/>
          <w:bCs w:val="0"/>
          <w:vertAlign w:val="superscript"/>
        </w:rPr>
        <w:t>6</w:t>
      </w:r>
      <w:r w:rsidR="009F5892" w:rsidRPr="005831F0">
        <w:rPr>
          <w:b w:val="0"/>
          <w:bCs w:val="0"/>
          <w:vertAlign w:val="superscript"/>
        </w:rPr>
        <w:t>,1</w:t>
      </w:r>
      <w:r w:rsidR="00AD5418">
        <w:rPr>
          <w:b w:val="0"/>
          <w:bCs w:val="0"/>
          <w:vertAlign w:val="superscript"/>
        </w:rPr>
        <w:t>5</w:t>
      </w:r>
    </w:p>
    <w:p w14:paraId="02F97B9D" w14:textId="4A0C17B1" w:rsidR="00341E1A" w:rsidRPr="00341E1A" w:rsidRDefault="00341E1A" w:rsidP="00341E1A">
      <w:pPr>
        <w:pStyle w:val="BodyText"/>
      </w:pPr>
      <w:r w:rsidRPr="00341E1A">
        <w:t>For all indications: Member has had a documented negative tuberculosis (TB) test (which can include a tuberculosis skin test [</w:t>
      </w:r>
      <w:r w:rsidR="00224C96">
        <w:t>TST] or</w:t>
      </w:r>
      <w:r w:rsidRPr="00341E1A">
        <w:t xml:space="preserve"> an interferon-release assay [IGRA]) within </w:t>
      </w:r>
      <w:r w:rsidR="00FD4A64">
        <w:t>12</w:t>
      </w:r>
      <w:r w:rsidRPr="00341E1A">
        <w:t xml:space="preserve"> months of initiating therapy for persons who are naïve to biologic drugs or targeted synthetic drugs associated with an increased risk of TB.</w:t>
      </w:r>
    </w:p>
    <w:p w14:paraId="2300737B" w14:textId="52C6BE7A" w:rsidR="00341E1A" w:rsidRPr="00341E1A" w:rsidRDefault="00341E1A" w:rsidP="00341E1A">
      <w:pPr>
        <w:pStyle w:val="BodyText"/>
      </w:pPr>
      <w:r w:rsidRPr="00341E1A">
        <w:t>If the screening testing for TB is positive, there must be further testing to confirm there is no active disease</w:t>
      </w:r>
      <w:r w:rsidR="00EF7663">
        <w:t xml:space="preserve"> (e</w:t>
      </w:r>
      <w:r w:rsidR="0056264F">
        <w:t>.</w:t>
      </w:r>
      <w:r w:rsidR="00EF7663">
        <w:t>g., chest x-ray</w:t>
      </w:r>
      <w:r w:rsidR="006038C9">
        <w:t>)</w:t>
      </w:r>
      <w:r w:rsidRPr="00341E1A">
        <w:t>. Do not administer the requested medication to members with active TB infection. If there is latent disease, TB treatment must be started before initiation of the requested medication.</w:t>
      </w:r>
    </w:p>
    <w:p w14:paraId="4134466D" w14:textId="3505DC44" w:rsidR="00341E1A" w:rsidRDefault="00341E1A" w:rsidP="00341E1A">
      <w:pPr>
        <w:pStyle w:val="BodyText"/>
      </w:pPr>
      <w:r w:rsidRPr="00341E1A">
        <w:t>For all indications: Member cannot use the requested medication concomitantly with any other biologic drug or targeted synthetic drug.</w:t>
      </w:r>
    </w:p>
    <w:p w14:paraId="24ADA668" w14:textId="04C6A470" w:rsidR="00341E1A" w:rsidRPr="00BD1CC1" w:rsidRDefault="00341E1A" w:rsidP="000E31B1">
      <w:pPr>
        <w:pStyle w:val="Heading2"/>
        <w:spacing w:before="240"/>
      </w:pPr>
      <w:r w:rsidRPr="00BD1CC1">
        <w:t>Dosage and Administration</w:t>
      </w:r>
    </w:p>
    <w:p w14:paraId="46612C92" w14:textId="2CDA69B2" w:rsidR="00BB34C0" w:rsidRPr="00BD1CC1" w:rsidRDefault="00341E1A" w:rsidP="00341E1A">
      <w:pPr>
        <w:pStyle w:val="BodyText"/>
      </w:pPr>
      <w:r w:rsidRPr="00341E1A">
        <w:t>Approvals may be subject to dosing limits in accordance with FDA-approved labeling, accepted compendia, and/or evidence-based practice guidelines.</w:t>
      </w:r>
    </w:p>
    <w:p w14:paraId="784D6ED7" w14:textId="6A6F9E40" w:rsidR="008B1332" w:rsidRPr="00BD1CC1" w:rsidRDefault="008B1332" w:rsidP="000E31B1">
      <w:pPr>
        <w:pStyle w:val="Heading2"/>
        <w:spacing w:before="240"/>
      </w:pPr>
      <w:r w:rsidRPr="00BD1CC1">
        <w:t>Appendi</w:t>
      </w:r>
      <w:r w:rsidR="00E85C83">
        <w:t>x</w:t>
      </w:r>
    </w:p>
    <w:p w14:paraId="4DA22072" w14:textId="6C184FD6" w:rsidR="008B1332" w:rsidRPr="00BD1CC1" w:rsidRDefault="008B1332" w:rsidP="008B1332">
      <w:pPr>
        <w:pStyle w:val="Heading3"/>
      </w:pPr>
      <w:r w:rsidRPr="00BD1CC1">
        <w:t xml:space="preserve">Appendix A: </w:t>
      </w:r>
      <w:r w:rsidR="00341E1A" w:rsidRPr="00341E1A">
        <w:t xml:space="preserve">Examples of </w:t>
      </w:r>
      <w:r w:rsidR="00B93253">
        <w:t>C</w:t>
      </w:r>
      <w:r w:rsidR="00341E1A" w:rsidRPr="00341E1A">
        <w:t xml:space="preserve">linical </w:t>
      </w:r>
      <w:r w:rsidR="00B93253">
        <w:t>R</w:t>
      </w:r>
      <w:r w:rsidR="00341E1A" w:rsidRPr="00341E1A">
        <w:t xml:space="preserve">easons to </w:t>
      </w:r>
      <w:r w:rsidR="00B93253">
        <w:t>A</w:t>
      </w:r>
      <w:r w:rsidR="00341E1A" w:rsidRPr="00341E1A">
        <w:t xml:space="preserve">void </w:t>
      </w:r>
      <w:r w:rsidR="00B93253">
        <w:t>P</w:t>
      </w:r>
      <w:r w:rsidR="00341E1A" w:rsidRPr="00341E1A">
        <w:t xml:space="preserve">harmacologic </w:t>
      </w:r>
      <w:r w:rsidR="00B93253">
        <w:t>T</w:t>
      </w:r>
      <w:r w:rsidR="00341E1A" w:rsidRPr="00341E1A">
        <w:t xml:space="preserve">reatment with </w:t>
      </w:r>
      <w:r w:rsidR="00B93253">
        <w:t>M</w:t>
      </w:r>
      <w:r w:rsidR="000510B4" w:rsidRPr="00341E1A">
        <w:t>ethotrexate</w:t>
      </w:r>
      <w:r w:rsidR="000510B4">
        <w:rPr>
          <w:vertAlign w:val="superscript"/>
        </w:rPr>
        <w:t>2</w:t>
      </w:r>
      <w:r w:rsidR="00B274D9">
        <w:rPr>
          <w:vertAlign w:val="superscript"/>
        </w:rPr>
        <w:t>2</w:t>
      </w:r>
    </w:p>
    <w:p w14:paraId="675D7CAE" w14:textId="77777777" w:rsidR="00341E1A" w:rsidRPr="00341E1A" w:rsidRDefault="00341E1A" w:rsidP="00341E1A">
      <w:pPr>
        <w:pStyle w:val="ListParagraph"/>
      </w:pPr>
      <w:r w:rsidRPr="00341E1A">
        <w:t>Clinical diagnosis of alcohol use disorder, alcoholic liver disease, or other chronic liver disease</w:t>
      </w:r>
    </w:p>
    <w:p w14:paraId="0885166D" w14:textId="77777777" w:rsidR="00341E1A" w:rsidRPr="00341E1A" w:rsidRDefault="00341E1A" w:rsidP="00341E1A">
      <w:pPr>
        <w:pStyle w:val="ListParagraph"/>
      </w:pPr>
      <w:r w:rsidRPr="00341E1A">
        <w:t xml:space="preserve">Drug interaction </w:t>
      </w:r>
    </w:p>
    <w:p w14:paraId="74BA06B2" w14:textId="7CFC2164" w:rsidR="00341E1A" w:rsidRPr="00341E1A" w:rsidRDefault="00341E1A" w:rsidP="00341E1A">
      <w:pPr>
        <w:pStyle w:val="ListParagraph"/>
      </w:pPr>
      <w:r w:rsidRPr="00341E1A">
        <w:t>Risk of treatment-related toxicity</w:t>
      </w:r>
    </w:p>
    <w:p w14:paraId="1F9FD639" w14:textId="77777777" w:rsidR="00341E1A" w:rsidRPr="00341E1A" w:rsidRDefault="00341E1A" w:rsidP="00341E1A">
      <w:pPr>
        <w:pStyle w:val="ListParagraph"/>
      </w:pPr>
      <w:r w:rsidRPr="00341E1A">
        <w:t>Pregnancy or currently planning pregnancy</w:t>
      </w:r>
    </w:p>
    <w:p w14:paraId="51EA106A" w14:textId="77777777" w:rsidR="00341E1A" w:rsidRPr="00341E1A" w:rsidRDefault="00341E1A" w:rsidP="00341E1A">
      <w:pPr>
        <w:pStyle w:val="ListParagraph"/>
      </w:pPr>
      <w:r w:rsidRPr="00341E1A">
        <w:t>Breastfeeding</w:t>
      </w:r>
    </w:p>
    <w:p w14:paraId="1B8485D5" w14:textId="77777777" w:rsidR="00341E1A" w:rsidRPr="00341E1A" w:rsidRDefault="00341E1A" w:rsidP="00341E1A">
      <w:pPr>
        <w:pStyle w:val="ListParagraph"/>
      </w:pPr>
      <w:r w:rsidRPr="00341E1A">
        <w:t>Significant comorbidity prohibits use of systemic agents (e.g., liver or kidney disease, blood dyscrasias, uncontrolled hypertension)</w:t>
      </w:r>
    </w:p>
    <w:p w14:paraId="460EEF41" w14:textId="77777777" w:rsidR="00341E1A" w:rsidRPr="00341E1A" w:rsidRDefault="00341E1A" w:rsidP="00341E1A">
      <w:pPr>
        <w:pStyle w:val="ListParagraph"/>
      </w:pPr>
      <w:r w:rsidRPr="00341E1A">
        <w:t>Hypersensitivity</w:t>
      </w:r>
    </w:p>
    <w:p w14:paraId="45FD7744" w14:textId="77777777" w:rsidR="00341E1A" w:rsidRPr="00341E1A" w:rsidRDefault="00341E1A" w:rsidP="00341E1A">
      <w:pPr>
        <w:pStyle w:val="ListParagraph"/>
      </w:pPr>
      <w:r w:rsidRPr="00341E1A">
        <w:t>History of intolerance or adverse event</w:t>
      </w:r>
    </w:p>
    <w:p w14:paraId="581AE369" w14:textId="7BBBAC71" w:rsidR="008B1332" w:rsidRPr="00BD1CC1" w:rsidRDefault="008B1332" w:rsidP="008B1332">
      <w:pPr>
        <w:pStyle w:val="Heading3"/>
        <w:rPr>
          <w:vertAlign w:val="superscript"/>
        </w:rPr>
      </w:pPr>
      <w:r w:rsidRPr="00BD1CC1">
        <w:t xml:space="preserve">Appendix B: </w:t>
      </w:r>
      <w:r w:rsidR="00341E1A" w:rsidRPr="00341E1A">
        <w:t xml:space="preserve">Risk </w:t>
      </w:r>
      <w:r w:rsidR="00971543">
        <w:t>F</w:t>
      </w:r>
      <w:r w:rsidR="00341E1A" w:rsidRPr="00341E1A">
        <w:t xml:space="preserve">actors for </w:t>
      </w:r>
      <w:r w:rsidR="00971543">
        <w:t>A</w:t>
      </w:r>
      <w:r w:rsidR="00341E1A" w:rsidRPr="00341E1A">
        <w:t xml:space="preserve">rticular </w:t>
      </w:r>
      <w:r w:rsidR="00971543">
        <w:t>J</w:t>
      </w:r>
      <w:r w:rsidR="00341E1A" w:rsidRPr="00341E1A">
        <w:t xml:space="preserve">uvenile </w:t>
      </w:r>
      <w:r w:rsidR="00971543">
        <w:t>I</w:t>
      </w:r>
      <w:r w:rsidR="00341E1A" w:rsidRPr="00341E1A">
        <w:t xml:space="preserve">diopathic </w:t>
      </w:r>
      <w:r w:rsidR="00971543">
        <w:t>A</w:t>
      </w:r>
      <w:r w:rsidR="000C7802" w:rsidRPr="00341E1A">
        <w:t>rthritis</w:t>
      </w:r>
      <w:r w:rsidR="00B274D9">
        <w:rPr>
          <w:vertAlign w:val="superscript"/>
        </w:rPr>
        <w:t>21</w:t>
      </w:r>
    </w:p>
    <w:p w14:paraId="4D41A62A" w14:textId="77777777" w:rsidR="00341E1A" w:rsidRPr="00341E1A" w:rsidRDefault="00341E1A" w:rsidP="00341E1A">
      <w:pPr>
        <w:pStyle w:val="ListParagraph"/>
      </w:pPr>
      <w:r w:rsidRPr="00341E1A">
        <w:t>Positive rheumatoid factor</w:t>
      </w:r>
    </w:p>
    <w:p w14:paraId="6A90744B" w14:textId="77777777" w:rsidR="00341E1A" w:rsidRPr="00341E1A" w:rsidRDefault="00341E1A" w:rsidP="00341E1A">
      <w:pPr>
        <w:pStyle w:val="ListParagraph"/>
      </w:pPr>
      <w:r w:rsidRPr="00341E1A">
        <w:t>Positive anti-cyclic citrullinated peptide antibodies</w:t>
      </w:r>
    </w:p>
    <w:p w14:paraId="42CA55AF" w14:textId="77777777" w:rsidR="00341E1A" w:rsidRPr="00341E1A" w:rsidRDefault="00341E1A" w:rsidP="00341E1A">
      <w:pPr>
        <w:pStyle w:val="ListParagraph"/>
      </w:pPr>
      <w:r w:rsidRPr="00341E1A">
        <w:t>Pre-existing joint damage</w:t>
      </w:r>
    </w:p>
    <w:p w14:paraId="0A275F8B" w14:textId="590728B8" w:rsidR="000E0438" w:rsidRPr="008D1B34" w:rsidRDefault="000E0438" w:rsidP="000E0438">
      <w:pPr>
        <w:pStyle w:val="Heading2"/>
      </w:pPr>
      <w:bookmarkStart w:id="6" w:name="S2.2"/>
      <w:bookmarkStart w:id="7" w:name="section-2.2"/>
      <w:bookmarkStart w:id="8" w:name="section-2.2.1"/>
      <w:bookmarkStart w:id="9" w:name="section-2.2.2"/>
      <w:bookmarkEnd w:id="6"/>
      <w:bookmarkEnd w:id="7"/>
      <w:bookmarkEnd w:id="8"/>
      <w:bookmarkEnd w:id="9"/>
      <w:r w:rsidRPr="008D1B34">
        <w:t>References</w:t>
      </w:r>
    </w:p>
    <w:p w14:paraId="06CB8338" w14:textId="70E8AFF9" w:rsidR="00341E1A" w:rsidRDefault="00341E1A" w:rsidP="000E31B1">
      <w:pPr>
        <w:pStyle w:val="ReferenceOrdered"/>
        <w:keepNext w:val="0"/>
        <w:keepLines w:val="0"/>
        <w:ind w:left="360"/>
      </w:pPr>
      <w:r>
        <w:t xml:space="preserve">Actemra [package insert]. South San Francisco, CA: Genentech, Inc.; </w:t>
      </w:r>
      <w:r w:rsidR="006C6583">
        <w:t>September 2024</w:t>
      </w:r>
      <w:r>
        <w:t>.</w:t>
      </w:r>
    </w:p>
    <w:p w14:paraId="32E27EAE" w14:textId="47A3E4D4" w:rsidR="00A65F4C" w:rsidRDefault="00A65F4C" w:rsidP="000E31B1">
      <w:pPr>
        <w:pStyle w:val="ReferenceOrdered"/>
        <w:keepNext w:val="0"/>
        <w:keepLines w:val="0"/>
        <w:ind w:left="360"/>
      </w:pPr>
      <w:proofErr w:type="spellStart"/>
      <w:r>
        <w:lastRenderedPageBreak/>
        <w:t>Avtozma</w:t>
      </w:r>
      <w:proofErr w:type="spellEnd"/>
      <w:r>
        <w:t xml:space="preserve"> [package insert]. </w:t>
      </w:r>
      <w:r w:rsidR="00206AB1">
        <w:t>Jersey City</w:t>
      </w:r>
      <w:r>
        <w:t xml:space="preserve">, </w:t>
      </w:r>
      <w:r w:rsidR="00206AB1">
        <w:t>NJ</w:t>
      </w:r>
      <w:r>
        <w:t xml:space="preserve">: </w:t>
      </w:r>
      <w:proofErr w:type="spellStart"/>
      <w:r w:rsidR="00206AB1">
        <w:t>Celltrion</w:t>
      </w:r>
      <w:proofErr w:type="spellEnd"/>
      <w:r w:rsidR="00206AB1">
        <w:t xml:space="preserve"> USA</w:t>
      </w:r>
      <w:r>
        <w:t xml:space="preserve">, Inc.; </w:t>
      </w:r>
      <w:r w:rsidR="00155369">
        <w:t>February</w:t>
      </w:r>
      <w:r>
        <w:t xml:space="preserve"> 2025.</w:t>
      </w:r>
    </w:p>
    <w:p w14:paraId="5E633705" w14:textId="77777777" w:rsidR="007B6A98" w:rsidRDefault="007B6A98" w:rsidP="000E31B1">
      <w:pPr>
        <w:pStyle w:val="ReferenceOrdered"/>
        <w:keepNext w:val="0"/>
        <w:keepLines w:val="0"/>
        <w:ind w:left="360"/>
      </w:pPr>
      <w:r>
        <w:t>tocilizumab-</w:t>
      </w:r>
      <w:proofErr w:type="spellStart"/>
      <w:r>
        <w:t>aazg</w:t>
      </w:r>
      <w:proofErr w:type="spellEnd"/>
      <w:r>
        <w:t xml:space="preserve"> </w:t>
      </w:r>
      <w:r w:rsidRPr="00D8293A">
        <w:t xml:space="preserve">[package insert]. Lake Zurich, IL: Fresenius </w:t>
      </w:r>
      <w:proofErr w:type="spellStart"/>
      <w:r w:rsidRPr="00D8293A">
        <w:t>Kabi</w:t>
      </w:r>
      <w:proofErr w:type="spellEnd"/>
      <w:r w:rsidRPr="00D8293A">
        <w:t xml:space="preserve"> USA LLC; </w:t>
      </w:r>
      <w:r>
        <w:t>May</w:t>
      </w:r>
      <w:r w:rsidRPr="00D8293A">
        <w:t xml:space="preserve"> 202</w:t>
      </w:r>
      <w:r>
        <w:t>5</w:t>
      </w:r>
      <w:r w:rsidRPr="00D8293A">
        <w:t>.</w:t>
      </w:r>
    </w:p>
    <w:p w14:paraId="05DCAF35" w14:textId="3C8E2B83" w:rsidR="007B6A98" w:rsidRDefault="007B6A98" w:rsidP="000E31B1">
      <w:pPr>
        <w:pStyle w:val="ReferenceOrdered"/>
        <w:keepNext w:val="0"/>
        <w:keepLines w:val="0"/>
        <w:ind w:left="360"/>
      </w:pPr>
      <w:r>
        <w:t>tocilizumab-</w:t>
      </w:r>
      <w:proofErr w:type="spellStart"/>
      <w:r>
        <w:t>anoh</w:t>
      </w:r>
      <w:proofErr w:type="spellEnd"/>
      <w:r>
        <w:t xml:space="preserve"> [package insert]. Jersey City, NJ: </w:t>
      </w:r>
      <w:proofErr w:type="spellStart"/>
      <w:r>
        <w:t>Celltrion</w:t>
      </w:r>
      <w:proofErr w:type="spellEnd"/>
      <w:r>
        <w:t xml:space="preserve"> USA, Inc.; January 2025.</w:t>
      </w:r>
    </w:p>
    <w:p w14:paraId="4875A41B" w14:textId="2EBB4C76" w:rsidR="00341E1A" w:rsidRDefault="00341E1A" w:rsidP="000E31B1">
      <w:pPr>
        <w:pStyle w:val="ReferenceOrdered"/>
        <w:keepNext w:val="0"/>
        <w:keepLines w:val="0"/>
        <w:ind w:left="360"/>
      </w:pPr>
      <w:proofErr w:type="spellStart"/>
      <w:r>
        <w:t>Tofidence</w:t>
      </w:r>
      <w:proofErr w:type="spellEnd"/>
      <w:r>
        <w:t xml:space="preserve"> [package insert]. Cambridge, MA: Biogen MA Inc.; </w:t>
      </w:r>
      <w:r w:rsidR="00730E24">
        <w:t>March</w:t>
      </w:r>
      <w:r w:rsidR="006C6583">
        <w:t xml:space="preserve"> 202</w:t>
      </w:r>
      <w:r w:rsidR="00730E24">
        <w:t>5</w:t>
      </w:r>
      <w:r>
        <w:t>.</w:t>
      </w:r>
    </w:p>
    <w:p w14:paraId="41497BD3" w14:textId="73814B2D" w:rsidR="004014D1" w:rsidRDefault="004014D1" w:rsidP="000E31B1">
      <w:pPr>
        <w:pStyle w:val="ReferenceOrdered"/>
        <w:keepNext w:val="0"/>
        <w:keepLines w:val="0"/>
        <w:ind w:left="360"/>
      </w:pPr>
      <w:proofErr w:type="spellStart"/>
      <w:r w:rsidRPr="004014D1">
        <w:t>Tyenne</w:t>
      </w:r>
      <w:proofErr w:type="spellEnd"/>
      <w:r w:rsidRPr="004014D1">
        <w:t xml:space="preserve"> [package insert]. Lake Zurich, IL: Fresenius </w:t>
      </w:r>
      <w:proofErr w:type="spellStart"/>
      <w:r w:rsidRPr="004014D1">
        <w:t>Kabi</w:t>
      </w:r>
      <w:proofErr w:type="spellEnd"/>
      <w:r w:rsidRPr="004014D1">
        <w:t xml:space="preserve"> USA LLC; </w:t>
      </w:r>
      <w:r w:rsidR="00E17A4B">
        <w:t>February</w:t>
      </w:r>
      <w:r w:rsidRPr="004014D1">
        <w:t xml:space="preserve"> 202</w:t>
      </w:r>
      <w:r w:rsidR="00E17A4B">
        <w:t>5</w:t>
      </w:r>
      <w:r w:rsidRPr="004014D1">
        <w:t>.</w:t>
      </w:r>
    </w:p>
    <w:p w14:paraId="64257274" w14:textId="690867A7" w:rsidR="00341E1A" w:rsidRDefault="00341E1A" w:rsidP="000E31B1">
      <w:pPr>
        <w:pStyle w:val="ReferenceOrdered"/>
        <w:keepNext w:val="0"/>
        <w:keepLines w:val="0"/>
        <w:ind w:left="360"/>
      </w:pPr>
      <w:r>
        <w:t>The NCCN Drugs &amp; Biologics Compendium. © 202</w:t>
      </w:r>
      <w:r w:rsidR="00104F2A">
        <w:t>5</w:t>
      </w:r>
      <w:r>
        <w:t xml:space="preserve"> National Comprehensive Cancer Network, Inc. https://www.nccn.org. Accessed </w:t>
      </w:r>
      <w:r w:rsidR="00104F2A">
        <w:t>January</w:t>
      </w:r>
      <w:r w:rsidR="006C6583">
        <w:t xml:space="preserve"> </w:t>
      </w:r>
      <w:r w:rsidR="00104F2A">
        <w:t>23</w:t>
      </w:r>
      <w:r w:rsidR="004014D1">
        <w:t>, 202</w:t>
      </w:r>
      <w:r w:rsidR="00104F2A">
        <w:t>5</w:t>
      </w:r>
      <w:r>
        <w:t>.</w:t>
      </w:r>
    </w:p>
    <w:p w14:paraId="0BA4B365" w14:textId="6D2E1BF3" w:rsidR="00341E1A" w:rsidRDefault="00000000" w:rsidP="000E31B1">
      <w:pPr>
        <w:pStyle w:val="ReferenceOrdered"/>
        <w:keepNext w:val="0"/>
        <w:keepLines w:val="0"/>
        <w:ind w:left="360"/>
      </w:pPr>
      <w:hyperlink r:id="rId18" w:history="1">
        <w:r w:rsidR="001E5707" w:rsidRPr="00AD2B75">
          <w:t>Singh JA</w:t>
        </w:r>
      </w:hyperlink>
      <w:r w:rsidR="001E5707" w:rsidRPr="001E5707">
        <w:t>, </w:t>
      </w:r>
      <w:hyperlink r:id="rId19" w:history="1">
        <w:r w:rsidR="001E5707" w:rsidRPr="00AD2B75">
          <w:t>Saag KG</w:t>
        </w:r>
      </w:hyperlink>
      <w:r w:rsidR="001E5707" w:rsidRPr="001E5707">
        <w:t>, </w:t>
      </w:r>
      <w:hyperlink r:id="rId20" w:history="1">
        <w:r w:rsidR="001E5707" w:rsidRPr="00AD2B75">
          <w:t>Bridges SL Jr</w:t>
        </w:r>
      </w:hyperlink>
      <w:r w:rsidR="001E5707" w:rsidRPr="001E5707">
        <w:t>,</w:t>
      </w:r>
      <w:r w:rsidR="00341E1A">
        <w:t xml:space="preserve"> et al. 2015 American College of Rheumatology Guideline for the Treatment of Rheumatoid </w:t>
      </w:r>
      <w:r w:rsidR="00341E1A" w:rsidRPr="00EB5916">
        <w:t xml:space="preserve">Arthritis. Arthritis </w:t>
      </w:r>
      <w:proofErr w:type="spellStart"/>
      <w:r w:rsidR="00341E1A" w:rsidRPr="00EB5916">
        <w:t>Rheumatol</w:t>
      </w:r>
      <w:proofErr w:type="spellEnd"/>
      <w:r w:rsidR="00341E1A" w:rsidRPr="00EB5916">
        <w:t>. 2016</w:t>
      </w:r>
      <w:r w:rsidR="00341E1A">
        <w:t>;68(1)1-26.</w:t>
      </w:r>
    </w:p>
    <w:p w14:paraId="12AFCB14" w14:textId="77777777" w:rsidR="00603E40" w:rsidRPr="00780ADF" w:rsidRDefault="00603E40" w:rsidP="000E31B1">
      <w:pPr>
        <w:pStyle w:val="ReferenceOrdered"/>
        <w:keepNext w:val="0"/>
        <w:keepLines w:val="0"/>
        <w:ind w:left="360"/>
      </w:pPr>
      <w:r w:rsidRPr="008376F0">
        <w:t xml:space="preserve">Smolen JS, </w:t>
      </w:r>
      <w:proofErr w:type="spellStart"/>
      <w:r w:rsidRPr="008376F0">
        <w:t>Landewé</w:t>
      </w:r>
      <w:proofErr w:type="spellEnd"/>
      <w:r w:rsidRPr="008376F0">
        <w:t xml:space="preserve"> RBM, </w:t>
      </w:r>
      <w:proofErr w:type="spellStart"/>
      <w:r w:rsidRPr="008376F0">
        <w:t>Bergstra</w:t>
      </w:r>
      <w:proofErr w:type="spellEnd"/>
      <w:r w:rsidRPr="008376F0">
        <w:t xml:space="preserve"> SA, et al. EULAR recommendations for the management of rheumatoid arthritis with synthetic and biological disease-modifying antirheumatic drugs: 2022 update. Ann Rheum Dis. </w:t>
      </w:r>
      <w:proofErr w:type="gramStart"/>
      <w:r w:rsidRPr="008376F0">
        <w:t>2023;82:3</w:t>
      </w:r>
      <w:proofErr w:type="gramEnd"/>
      <w:r w:rsidRPr="008376F0">
        <w:t>-18.</w:t>
      </w:r>
    </w:p>
    <w:p w14:paraId="61263860" w14:textId="3DB27E41" w:rsidR="00341E1A" w:rsidRDefault="00341E1A" w:rsidP="000E31B1">
      <w:pPr>
        <w:pStyle w:val="ReferenceOrdered"/>
        <w:keepNext w:val="0"/>
        <w:keepLines w:val="0"/>
        <w:ind w:left="360"/>
      </w:pPr>
      <w:proofErr w:type="spellStart"/>
      <w:r>
        <w:t>Beukelman</w:t>
      </w:r>
      <w:proofErr w:type="spellEnd"/>
      <w:r>
        <w:t xml:space="preserve"> T, Patkar NM, Saag KG, et al. 2011 American College of Rheumatology recommendations for the treatment of juvenile idiopathic arthritis: initiation and safety monitoring of therapeutic agents for the treatment of arthritis and systemic features. Arthritis Care Res. 2011;63(4):465-482.</w:t>
      </w:r>
    </w:p>
    <w:p w14:paraId="124DA5CD" w14:textId="6224B580" w:rsidR="00341E1A" w:rsidRDefault="00341E1A" w:rsidP="000E31B1">
      <w:pPr>
        <w:pStyle w:val="ReferenceOrdered"/>
        <w:keepNext w:val="0"/>
        <w:keepLines w:val="0"/>
        <w:ind w:left="360"/>
      </w:pPr>
      <w:proofErr w:type="spellStart"/>
      <w:r>
        <w:t>Ringold</w:t>
      </w:r>
      <w:proofErr w:type="spellEnd"/>
      <w:r>
        <w:t xml:space="preserve"> S, Weiss PF, </w:t>
      </w:r>
      <w:proofErr w:type="spellStart"/>
      <w:r>
        <w:t>Beukelman</w:t>
      </w:r>
      <w:proofErr w:type="spellEnd"/>
      <w:r>
        <w:t xml:space="preserve"> T, et al. 2013 Update of the 2011 American College of Rheumatology Recommendations for the Treatment of Juvenile Idiopathic Arthritis: Recommendations for the Medical Therapy of Children </w:t>
      </w:r>
      <w:proofErr w:type="gramStart"/>
      <w:r>
        <w:t>With</w:t>
      </w:r>
      <w:proofErr w:type="gramEnd"/>
      <w:r>
        <w:t xml:space="preserve"> Systemic Juvenile Idiopathic Arthritis and Tuberculosis Screening Among Children Receiving Biologic Medications. Arthritis &amp; Rheumatism. </w:t>
      </w:r>
      <w:proofErr w:type="gramStart"/>
      <w:r>
        <w:t>2013;65:2499</w:t>
      </w:r>
      <w:proofErr w:type="gramEnd"/>
      <w:r>
        <w:t>-2512.</w:t>
      </w:r>
    </w:p>
    <w:p w14:paraId="47DE64AA" w14:textId="77777777" w:rsidR="00341E1A" w:rsidRDefault="00341E1A" w:rsidP="000E31B1">
      <w:pPr>
        <w:pStyle w:val="ReferenceOrdered"/>
        <w:keepNext w:val="0"/>
        <w:keepLines w:val="0"/>
        <w:ind w:left="360"/>
      </w:pPr>
      <w:proofErr w:type="spellStart"/>
      <w:r>
        <w:t>Ringold</w:t>
      </w:r>
      <w:proofErr w:type="spellEnd"/>
      <w:r>
        <w:t xml:space="preserve"> S, Angeles-Han S, </w:t>
      </w:r>
      <w:proofErr w:type="spellStart"/>
      <w:r>
        <w:t>Beukelman</w:t>
      </w:r>
      <w:proofErr w:type="spellEnd"/>
      <w:r>
        <w:t xml:space="preserve"> T, et al. 2019 American College of Rheumatology/Arthritis Foundation Guideline for the Treatment of Juvenile Idiopathic Arthritis: Therapeutic Approaches for Non-Systemic Polyarthritis, Sacroiliitis, and Enthesitis. American College of Rheumatology. 2019;1-18.</w:t>
      </w:r>
    </w:p>
    <w:p w14:paraId="39C8BAA1" w14:textId="77777777" w:rsidR="00341E1A" w:rsidRDefault="00341E1A" w:rsidP="000E31B1">
      <w:pPr>
        <w:pStyle w:val="ReferenceOrdered"/>
        <w:keepNext w:val="0"/>
        <w:keepLines w:val="0"/>
        <w:ind w:left="360"/>
      </w:pPr>
      <w:r>
        <w:t xml:space="preserve">Stone JH, Tuckwell K, </w:t>
      </w:r>
      <w:proofErr w:type="spellStart"/>
      <w:r>
        <w:t>Dimonaco</w:t>
      </w:r>
      <w:proofErr w:type="spellEnd"/>
      <w:r>
        <w:t xml:space="preserve"> S, et al. Efficacy and safety of tocilizumab in patients with giant cell arteritis: Primary and secondary outcomes from a phase 3, randomized, double-blind, placebo-controlled trial. 2016 ACR/ARHP Annual meeting. Abstract number 911.</w:t>
      </w:r>
    </w:p>
    <w:p w14:paraId="64AC8967" w14:textId="77777777" w:rsidR="00341E1A" w:rsidRDefault="00341E1A" w:rsidP="000E31B1">
      <w:pPr>
        <w:pStyle w:val="ReferenceOrdered"/>
        <w:keepNext w:val="0"/>
        <w:keepLines w:val="0"/>
        <w:ind w:left="360"/>
      </w:pPr>
      <w:proofErr w:type="spellStart"/>
      <w:r>
        <w:t>Hellmich</w:t>
      </w:r>
      <w:proofErr w:type="spellEnd"/>
      <w:r>
        <w:t xml:space="preserve"> B, Agueda A, Monti S, et al. 2018 Update of the EULAR recommendations for the management of large vessel vasculitis. Ann Rheum Dis. 2020;79(1):19-30.</w:t>
      </w:r>
    </w:p>
    <w:p w14:paraId="4A20293B" w14:textId="1E323764" w:rsidR="00341E1A" w:rsidRDefault="00341E1A" w:rsidP="000E31B1">
      <w:pPr>
        <w:pStyle w:val="ReferenceOrdered"/>
        <w:keepNext w:val="0"/>
        <w:keepLines w:val="0"/>
        <w:ind w:left="360"/>
      </w:pPr>
      <w:r>
        <w:t xml:space="preserve">Testing for TB Infection. Centers for Disease Control and Prevention. Retrieved on January </w:t>
      </w:r>
      <w:r w:rsidR="0008114A">
        <w:t xml:space="preserve">22, </w:t>
      </w:r>
      <w:proofErr w:type="gramStart"/>
      <w:r w:rsidR="0008114A">
        <w:t>202</w:t>
      </w:r>
      <w:r w:rsidR="00AB0B69">
        <w:t>5</w:t>
      </w:r>
      <w:proofErr w:type="gramEnd"/>
      <w:r>
        <w:t xml:space="preserve"> from: </w:t>
      </w:r>
      <w:r w:rsidR="00AB0B69" w:rsidRPr="00AB0B69">
        <w:t>https://www.cdc.gov/tb/testing/index.html</w:t>
      </w:r>
      <w:r>
        <w:t>.</w:t>
      </w:r>
    </w:p>
    <w:p w14:paraId="4EDA9D17" w14:textId="77777777" w:rsidR="00341E1A" w:rsidRDefault="00341E1A" w:rsidP="000E31B1">
      <w:pPr>
        <w:pStyle w:val="ReferenceOrdered"/>
        <w:keepNext w:val="0"/>
        <w:keepLines w:val="0"/>
        <w:ind w:left="360"/>
      </w:pPr>
      <w:proofErr w:type="spellStart"/>
      <w:r>
        <w:t>Aletaha</w:t>
      </w:r>
      <w:proofErr w:type="spellEnd"/>
      <w:r>
        <w:t xml:space="preserve"> D, </w:t>
      </w:r>
      <w:proofErr w:type="spellStart"/>
      <w:r>
        <w:t>Neogi</w:t>
      </w:r>
      <w:proofErr w:type="spellEnd"/>
      <w:r>
        <w:t xml:space="preserve"> T, </w:t>
      </w:r>
      <w:proofErr w:type="spellStart"/>
      <w:r>
        <w:t>Silman</w:t>
      </w:r>
      <w:proofErr w:type="spellEnd"/>
      <w:r>
        <w:t>, et al. 2010 Rheumatoid arthritis classification criteria: an American College of Rheumatology/European League Against Rheumatism collaborative initiative. Arthritis Rheum. 2010;62(9):2569-81.</w:t>
      </w:r>
    </w:p>
    <w:p w14:paraId="33C96155" w14:textId="373DF048" w:rsidR="00341E1A" w:rsidRDefault="00341E1A" w:rsidP="000E31B1">
      <w:pPr>
        <w:pStyle w:val="ReferenceOrdered"/>
        <w:keepNext w:val="0"/>
        <w:keepLines w:val="0"/>
        <w:ind w:left="360"/>
      </w:pPr>
      <w:r>
        <w:t xml:space="preserve">Khanna D, Lin CJF, </w:t>
      </w:r>
      <w:proofErr w:type="spellStart"/>
      <w:r>
        <w:t>Furst</w:t>
      </w:r>
      <w:proofErr w:type="spellEnd"/>
      <w:r>
        <w:t xml:space="preserve"> DE, et al. Tocilizumab in systemic sclerosis: a </w:t>
      </w:r>
      <w:proofErr w:type="spellStart"/>
      <w:r>
        <w:t>randomised</w:t>
      </w:r>
      <w:proofErr w:type="spellEnd"/>
      <w:r>
        <w:t>, double-blind, placebo-controlled, phase 3 trial. Lancet Respir Med. 2020 Oct;8(10</w:t>
      </w:r>
      <w:proofErr w:type="gramStart"/>
      <w:r>
        <w:t>):e</w:t>
      </w:r>
      <w:proofErr w:type="gramEnd"/>
      <w:r>
        <w:t>75 [published correction appears in Lancet Respir Med. 2021 Mar;9(3):e29]. Lancet Respir Med. 2020;8(10):963-974. doi:10.1016/S2213-2600(20)30318-0.</w:t>
      </w:r>
    </w:p>
    <w:p w14:paraId="4FA7DBE2" w14:textId="48E5D3FD" w:rsidR="00341E1A" w:rsidRDefault="00341E1A" w:rsidP="000E31B1">
      <w:pPr>
        <w:pStyle w:val="ReferenceOrdered"/>
        <w:keepNext w:val="0"/>
        <w:keepLines w:val="0"/>
        <w:ind w:left="360"/>
      </w:pPr>
      <w:r>
        <w:t xml:space="preserve">Smolen JS, </w:t>
      </w:r>
      <w:proofErr w:type="spellStart"/>
      <w:r>
        <w:t>Aletaha</w:t>
      </w:r>
      <w:proofErr w:type="spellEnd"/>
      <w:r>
        <w:t xml:space="preserve"> D. Assessment of rheumatoid arthritis disease activity and physical function. In: UpToDate, Post TW (Ed), UpToDate, Waltham, MA. Available with subscription. URL: www.uptodate.com. Accessed </w:t>
      </w:r>
      <w:r w:rsidR="001C1125">
        <w:t>January</w:t>
      </w:r>
      <w:r w:rsidR="00F7621A">
        <w:t xml:space="preserve"> </w:t>
      </w:r>
      <w:r w:rsidR="001C1125">
        <w:t>23</w:t>
      </w:r>
      <w:r>
        <w:t>, 202</w:t>
      </w:r>
      <w:r w:rsidR="001C1125">
        <w:t>5</w:t>
      </w:r>
      <w:r>
        <w:t>.</w:t>
      </w:r>
    </w:p>
    <w:p w14:paraId="75AB5D6B" w14:textId="77777777" w:rsidR="00341E1A" w:rsidRDefault="00341E1A" w:rsidP="000E31B1">
      <w:pPr>
        <w:pStyle w:val="ReferenceOrdered"/>
        <w:keepNext w:val="0"/>
        <w:keepLines w:val="0"/>
        <w:ind w:left="360"/>
      </w:pPr>
      <w:r>
        <w:t xml:space="preserve">Fraenkel L, </w:t>
      </w:r>
      <w:proofErr w:type="spellStart"/>
      <w:r>
        <w:t>Bathon</w:t>
      </w:r>
      <w:proofErr w:type="spellEnd"/>
      <w:r>
        <w:t xml:space="preserve"> JM, England BR, et al. 2021 American College of Rheumatology guideline for the treatment of rheumatoid arthritis. </w:t>
      </w:r>
      <w:proofErr w:type="spellStart"/>
      <w:r>
        <w:t>Arthrit</w:t>
      </w:r>
      <w:proofErr w:type="spellEnd"/>
      <w:r>
        <w:t xml:space="preserve"> Care Res. </w:t>
      </w:r>
      <w:proofErr w:type="gramStart"/>
      <w:r>
        <w:t>2021;0:1</w:t>
      </w:r>
      <w:proofErr w:type="gramEnd"/>
      <w:r>
        <w:t>-16.</w:t>
      </w:r>
    </w:p>
    <w:p w14:paraId="4A2BB66D" w14:textId="60EFBB1A" w:rsidR="00341E1A" w:rsidRDefault="00341E1A" w:rsidP="000E31B1">
      <w:pPr>
        <w:pStyle w:val="ReferenceOrdered"/>
        <w:keepNext w:val="0"/>
        <w:keepLines w:val="0"/>
        <w:ind w:left="360"/>
      </w:pPr>
      <w:r>
        <w:t xml:space="preserve">Micromedex Solutions [database online]. Ann Arbor, MI: Truven Health Analytics Inc. Updated periodically. www.micromedexsolutions.com [available with subscription]. Accessed </w:t>
      </w:r>
      <w:r w:rsidR="006F5A82">
        <w:t>January</w:t>
      </w:r>
      <w:r w:rsidR="00E17BE6">
        <w:t xml:space="preserve"> </w:t>
      </w:r>
      <w:r w:rsidR="006F5A82">
        <w:t>23</w:t>
      </w:r>
      <w:r w:rsidR="00C0203E">
        <w:t>, 202</w:t>
      </w:r>
      <w:r w:rsidR="006F5A82">
        <w:t>5</w:t>
      </w:r>
      <w:r>
        <w:t>.</w:t>
      </w:r>
    </w:p>
    <w:p w14:paraId="0A024473" w14:textId="77777777" w:rsidR="00341E1A" w:rsidRDefault="00341E1A" w:rsidP="000E31B1">
      <w:pPr>
        <w:pStyle w:val="ReferenceOrdered"/>
        <w:keepNext w:val="0"/>
        <w:keepLines w:val="0"/>
        <w:ind w:left="360"/>
      </w:pPr>
      <w:proofErr w:type="spellStart"/>
      <w:r>
        <w:lastRenderedPageBreak/>
        <w:t>Onel</w:t>
      </w:r>
      <w:proofErr w:type="spellEnd"/>
      <w:r>
        <w:t xml:space="preserve"> KB, Horton DB, Lovell DJ, et al. 2021 American College of Rheumatology guideline for the treatment of juvenile idiopathic arthritis: therapeutic approaches for </w:t>
      </w:r>
      <w:proofErr w:type="spellStart"/>
      <w:r>
        <w:t>oligoarthritis</w:t>
      </w:r>
      <w:proofErr w:type="spellEnd"/>
      <w:r>
        <w:t xml:space="preserve">, temporomandibular joint arthritis, and systemic juvenile idiopathic arthritis. Arthritis </w:t>
      </w:r>
      <w:proofErr w:type="spellStart"/>
      <w:r>
        <w:t>Rheumatol</w:t>
      </w:r>
      <w:proofErr w:type="spellEnd"/>
      <w:r>
        <w:t>. 2022;74(4):553-569.</w:t>
      </w:r>
    </w:p>
    <w:p w14:paraId="0045AFFD" w14:textId="1F49545F" w:rsidR="00CA1C0F" w:rsidRPr="000E31B1" w:rsidRDefault="00341E1A" w:rsidP="000E31B1">
      <w:pPr>
        <w:pStyle w:val="ReferenceOrdered"/>
        <w:keepNext w:val="0"/>
        <w:keepLines w:val="0"/>
        <w:ind w:left="360"/>
      </w:pPr>
      <w:proofErr w:type="spellStart"/>
      <w:r>
        <w:t>Menter</w:t>
      </w:r>
      <w:proofErr w:type="spellEnd"/>
      <w:r>
        <w:t xml:space="preserve"> A, Gelfand JM, Connor C, et al. Joint AAD-NPF guidelines of care for the management of psoriasis with systemic nonbiologic therapies. J Am </w:t>
      </w:r>
      <w:proofErr w:type="spellStart"/>
      <w:r>
        <w:t>Acad</w:t>
      </w:r>
      <w:proofErr w:type="spellEnd"/>
      <w:r>
        <w:t xml:space="preserve"> Dermatol. 2020;82(6): 1445-86.</w:t>
      </w:r>
    </w:p>
    <w:p w14:paraId="4B3D726F" w14:textId="0833371B" w:rsidR="00F57FC1" w:rsidRPr="00B55B23" w:rsidRDefault="00F57FC1" w:rsidP="000E31B1">
      <w:pPr>
        <w:pStyle w:val="ReferenceOrdered"/>
        <w:keepNext w:val="0"/>
        <w:keepLines w:val="0"/>
        <w:ind w:left="360"/>
      </w:pPr>
      <w:proofErr w:type="spellStart"/>
      <w:r>
        <w:t>Rahaghi</w:t>
      </w:r>
      <w:proofErr w:type="spellEnd"/>
      <w:r>
        <w:t xml:space="preserve"> FF, Hsu VM, </w:t>
      </w:r>
      <w:proofErr w:type="spellStart"/>
      <w:r>
        <w:t>Kaner</w:t>
      </w:r>
      <w:proofErr w:type="spellEnd"/>
      <w:r>
        <w:t xml:space="preserve"> RJ, et al. Expert consensus on the management of systemic sclerosis-associated interstitial lung disease. </w:t>
      </w:r>
      <w:r w:rsidRPr="00B55B23">
        <w:t>Respir Res. 2023;24(1):6-16.</w:t>
      </w:r>
    </w:p>
    <w:p w14:paraId="295BC477" w14:textId="7078FF76" w:rsidR="00DC4363" w:rsidRPr="000E31B1" w:rsidRDefault="00DC4363" w:rsidP="000E31B1">
      <w:pPr>
        <w:pStyle w:val="ReferenceOrdered"/>
        <w:keepNext w:val="0"/>
        <w:keepLines w:val="0"/>
        <w:ind w:left="360"/>
      </w:pPr>
      <w:proofErr w:type="spellStart"/>
      <w:r w:rsidRPr="00B55B23">
        <w:t>Galdo</w:t>
      </w:r>
      <w:proofErr w:type="spellEnd"/>
      <w:r w:rsidRPr="00B55B23">
        <w:t xml:space="preserve"> FD, </w:t>
      </w:r>
      <w:proofErr w:type="spellStart"/>
      <w:r w:rsidRPr="00B55B23">
        <w:t>Lescoat</w:t>
      </w:r>
      <w:proofErr w:type="spellEnd"/>
      <w:r w:rsidRPr="00B55B23">
        <w:t xml:space="preserve"> A, </w:t>
      </w:r>
      <w:proofErr w:type="spellStart"/>
      <w:r w:rsidRPr="00B55B23">
        <w:t>Conaghan</w:t>
      </w:r>
      <w:proofErr w:type="spellEnd"/>
      <w:r w:rsidRPr="00B55B23">
        <w:t xml:space="preserve"> PG, et al. EULAR recommendations for the treatment of systemic sclerosis: 2023 update. Ann Rheum Dis. </w:t>
      </w:r>
      <w:proofErr w:type="gramStart"/>
      <w:r w:rsidRPr="00B55B23">
        <w:t>2024;0:1</w:t>
      </w:r>
      <w:proofErr w:type="gramEnd"/>
      <w:r>
        <w:t>-12.</w:t>
      </w:r>
    </w:p>
    <w:sectPr w:rsidR="00DC4363" w:rsidRPr="000E31B1" w:rsidSect="00213342">
      <w:headerReference w:type="first" r:id="rId21"/>
      <w:footerReference w:type="first" r:id="rId22"/>
      <w:type w:val="continuous"/>
      <w:pgSz w:w="12240" w:h="15840" w:code="1"/>
      <w:pgMar w:top="900" w:right="720" w:bottom="990" w:left="720" w:header="450" w:footer="32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4D0FF" w14:textId="77777777" w:rsidR="001B36EB" w:rsidRDefault="001B36EB">
      <w:r>
        <w:separator/>
      </w:r>
    </w:p>
  </w:endnote>
  <w:endnote w:type="continuationSeparator" w:id="0">
    <w:p w14:paraId="6BECD883" w14:textId="77777777" w:rsidR="001B36EB" w:rsidRDefault="001B36EB">
      <w:r>
        <w:continuationSeparator/>
      </w:r>
    </w:p>
  </w:endnote>
  <w:endnote w:type="continuationNotice" w:id="1">
    <w:p w14:paraId="0A8DBE35" w14:textId="77777777" w:rsidR="001B36EB" w:rsidRDefault="001B3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CECF1" w14:textId="77777777" w:rsidR="000E31B1" w:rsidRDefault="000E31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516C23BA" w:rsidR="00C36B72" w:rsidRPr="00EC47B6" w:rsidRDefault="008A2C6E" w:rsidP="00C36B72">
    <w:pPr>
      <w:tabs>
        <w:tab w:val="right" w:pos="10710"/>
      </w:tabs>
      <w:spacing w:before="120" w:after="120"/>
      <w:rPr>
        <w:rFonts w:cs="Arial"/>
        <w:snapToGrid w:val="0"/>
        <w:color w:val="000000"/>
        <w:sz w:val="16"/>
      </w:rPr>
    </w:pPr>
    <w:r>
      <w:rPr>
        <w:rFonts w:cs="Arial"/>
        <w:noProof/>
        <w:snapToGrid w:val="0"/>
        <w:color w:val="000000"/>
        <w:sz w:val="16"/>
        <w:szCs w:val="16"/>
      </w:rPr>
      <w:fldChar w:fldCharType="begin"/>
    </w:r>
    <w:r>
      <w:rPr>
        <w:rFonts w:cs="Arial"/>
        <w:noProof/>
        <w:snapToGrid w:val="0"/>
        <w:color w:val="000000"/>
        <w:sz w:val="16"/>
        <w:szCs w:val="16"/>
      </w:rPr>
      <w:instrText xml:space="preserve"> FILENAME  \* FirstCap  \* MERGEFORMAT </w:instrText>
    </w:r>
    <w:r>
      <w:rPr>
        <w:rFonts w:cs="Arial"/>
        <w:noProof/>
        <w:snapToGrid w:val="0"/>
        <w:color w:val="000000"/>
        <w:sz w:val="16"/>
        <w:szCs w:val="16"/>
      </w:rPr>
      <w:fldChar w:fldCharType="separate"/>
    </w:r>
    <w:r>
      <w:rPr>
        <w:rFonts w:cs="Arial"/>
        <w:noProof/>
        <w:snapToGrid w:val="0"/>
        <w:color w:val="000000"/>
        <w:sz w:val="16"/>
        <w:szCs w:val="16"/>
      </w:rPr>
      <w:t>Actemra and Biosimilars SGM 1959-A P2025b.docx</w:t>
    </w:r>
    <w:r>
      <w:rPr>
        <w:rFonts w:cs="Arial"/>
        <w:noProof/>
        <w:snapToGrid w:val="0"/>
        <w:color w:val="000000"/>
        <w:sz w:val="16"/>
        <w:szCs w:val="16"/>
      </w:rPr>
      <w:fldChar w:fldCharType="end"/>
    </w:r>
    <w:r w:rsidR="00C36B72" w:rsidRPr="00EC47B6">
      <w:rPr>
        <w:rFonts w:cs="Arial"/>
        <w:snapToGrid w:val="0"/>
        <w:color w:val="000000"/>
        <w:sz w:val="16"/>
      </w:rPr>
      <w:tab/>
      <w:t>© 202</w:t>
    </w:r>
    <w:r w:rsidR="00112F3A">
      <w:rPr>
        <w:rFonts w:cs="Arial"/>
        <w:snapToGrid w:val="0"/>
        <w:color w:val="000000"/>
        <w:sz w:val="16"/>
      </w:rPr>
      <w:t>5</w:t>
    </w:r>
    <w:r w:rsidR="00C36B72" w:rsidRPr="00EC47B6">
      <w:rPr>
        <w:rFonts w:cs="Arial"/>
        <w:snapToGrid w:val="0"/>
        <w:color w:val="000000"/>
        <w:sz w:val="16"/>
      </w:rPr>
      <w:t xml:space="preserve"> CVS Caremark. All rights reserved.</w:t>
    </w:r>
  </w:p>
  <w:p w14:paraId="61CF5924" w14:textId="55D34314"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3359E7DA" w:rsidR="00F75C81" w:rsidRPr="00AA1E6A" w:rsidRDefault="00C36B72" w:rsidP="005831F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753C010F" w:rsidR="00F50D98" w:rsidRPr="00EC47B6" w:rsidRDefault="000E31B1" w:rsidP="00F50D98">
    <w:pPr>
      <w:tabs>
        <w:tab w:val="right" w:pos="10710"/>
      </w:tabs>
      <w:spacing w:before="120" w:after="120"/>
      <w:rPr>
        <w:rFonts w:cs="Arial"/>
        <w:snapToGrid w:val="0"/>
        <w:color w:val="000000"/>
        <w:sz w:val="16"/>
      </w:rPr>
    </w:pPr>
    <w:r>
      <w:rPr>
        <w:rFonts w:cs="Arial"/>
        <w:snapToGrid w:val="0"/>
        <w:color w:val="000000"/>
        <w:sz w:val="16"/>
      </w:rPr>
      <w:fldChar w:fldCharType="begin"/>
    </w:r>
    <w:r>
      <w:rPr>
        <w:rFonts w:cs="Arial"/>
        <w:snapToGrid w:val="0"/>
        <w:color w:val="000000"/>
        <w:sz w:val="16"/>
      </w:rPr>
      <w:instrText xml:space="preserve"> FILENAME  \* FirstCap  \* MERGEFORMAT </w:instrText>
    </w:r>
    <w:r>
      <w:rPr>
        <w:rFonts w:cs="Arial"/>
        <w:snapToGrid w:val="0"/>
        <w:color w:val="000000"/>
        <w:sz w:val="16"/>
      </w:rPr>
      <w:fldChar w:fldCharType="separate"/>
    </w:r>
    <w:r>
      <w:rPr>
        <w:rFonts w:cs="Arial"/>
        <w:noProof/>
        <w:snapToGrid w:val="0"/>
        <w:color w:val="000000"/>
        <w:sz w:val="16"/>
      </w:rPr>
      <w:t>Actemra and Biosimilars SGM 1959-A P2025b.docx</w:t>
    </w:r>
    <w:r>
      <w:rPr>
        <w:rFonts w:cs="Arial"/>
        <w:snapToGrid w:val="0"/>
        <w:color w:val="000000"/>
        <w:sz w:val="16"/>
      </w:rPr>
      <w:fldChar w:fldCharType="end"/>
    </w:r>
    <w:r w:rsidR="00F50D98" w:rsidRPr="00EC47B6">
      <w:rPr>
        <w:rFonts w:cs="Arial"/>
        <w:snapToGrid w:val="0"/>
        <w:color w:val="000000"/>
        <w:sz w:val="16"/>
      </w:rPr>
      <w:tab/>
      <w:t>© 202</w:t>
    </w:r>
    <w:r w:rsidR="0057157F">
      <w:rPr>
        <w:rFonts w:cs="Arial"/>
        <w:snapToGrid w:val="0"/>
        <w:color w:val="000000"/>
        <w:sz w:val="16"/>
      </w:rPr>
      <w:t>5</w:t>
    </w:r>
    <w:r w:rsidR="00F50D98" w:rsidRPr="00EC47B6">
      <w:rPr>
        <w:rFonts w:cs="Arial"/>
        <w:snapToGrid w:val="0"/>
        <w:color w:val="000000"/>
        <w:sz w:val="16"/>
      </w:rPr>
      <w:t xml:space="preserve"> CVS Caremark. All rights reserved.</w:t>
    </w:r>
  </w:p>
  <w:p w14:paraId="39BFE579" w14:textId="4630A0A5"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1198327E" w:rsidR="00ED04EC" w:rsidRPr="00F50D98" w:rsidRDefault="00F50D98" w:rsidP="005831F0">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43F95" w14:textId="77777777" w:rsidR="001B36EB" w:rsidRDefault="001B36EB">
      <w:r>
        <w:separator/>
      </w:r>
    </w:p>
  </w:footnote>
  <w:footnote w:type="continuationSeparator" w:id="0">
    <w:p w14:paraId="22FD27F6" w14:textId="77777777" w:rsidR="001B36EB" w:rsidRDefault="001B36EB">
      <w:r>
        <w:continuationSeparator/>
      </w:r>
    </w:p>
  </w:footnote>
  <w:footnote w:type="continuationNotice" w:id="1">
    <w:p w14:paraId="5173043D" w14:textId="77777777" w:rsidR="001B36EB" w:rsidRDefault="001B36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1F6C3" w14:textId="77777777" w:rsidR="000E31B1" w:rsidRDefault="000E31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1A7D8D" w:rsidRDefault="00ED04EC" w:rsidP="00ED04EC">
          <w:pPr>
            <w:pStyle w:val="Header"/>
            <w:rPr>
              <w:rFonts w:cs="Arial"/>
              <w:sz w:val="16"/>
              <w:szCs w:val="16"/>
            </w:rPr>
          </w:pPr>
          <w:r w:rsidRPr="001A7D8D">
            <w:rPr>
              <w:rFonts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541D2191" w:rsidR="00ED04EC" w:rsidRPr="001A7D8D" w:rsidRDefault="00341E1A" w:rsidP="00ED04EC">
          <w:pPr>
            <w:pStyle w:val="Header"/>
            <w:rPr>
              <w:rFonts w:cs="Arial"/>
              <w:color w:val="FF0000"/>
              <w:sz w:val="16"/>
              <w:szCs w:val="16"/>
            </w:rPr>
          </w:pPr>
          <w:r w:rsidRPr="001A7D8D">
            <w:rPr>
              <w:rFonts w:cs="Arial"/>
              <w:sz w:val="16"/>
              <w:szCs w:val="16"/>
            </w:rPr>
            <w:t>1959-A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1949" w14:textId="77777777" w:rsidR="000E31B1" w:rsidRDefault="000E31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CA1C0F" w:rsidRDefault="000F5383" w:rsidP="000F5383">
          <w:pPr>
            <w:pStyle w:val="Header"/>
            <w:rPr>
              <w:rFonts w:cs="Arial"/>
              <w:sz w:val="16"/>
              <w:szCs w:val="16"/>
            </w:rPr>
          </w:pPr>
          <w:r w:rsidRPr="00CA1C0F">
            <w:rPr>
              <w:rFonts w:cs="Arial"/>
              <w:sz w:val="16"/>
              <w:szCs w:val="16"/>
            </w:rPr>
            <w:t>Reference number(s)</w:t>
          </w:r>
        </w:p>
      </w:tc>
    </w:tr>
    <w:tr w:rsidR="000F5383" w:rsidRPr="00ED04EC" w14:paraId="2259874D" w14:textId="77777777" w:rsidTr="00551DCD">
      <w:trPr>
        <w:trHeight w:val="378"/>
        <w:jc w:val="right"/>
      </w:trPr>
      <w:tc>
        <w:tcPr>
          <w:tcW w:w="1854" w:type="dxa"/>
          <w:hideMark/>
        </w:tcPr>
        <w:p w14:paraId="475EFE95" w14:textId="6BDF6D4A" w:rsidR="000F5383" w:rsidRPr="00CA1C0F" w:rsidRDefault="00CA1C0F" w:rsidP="000F5383">
          <w:pPr>
            <w:pStyle w:val="Header"/>
            <w:rPr>
              <w:rFonts w:cs="Arial"/>
              <w:sz w:val="16"/>
              <w:szCs w:val="16"/>
            </w:rPr>
          </w:pPr>
          <w:r w:rsidRPr="00CA1C0F">
            <w:rPr>
              <w:rFonts w:cs="Arial"/>
              <w:sz w:val="16"/>
              <w:szCs w:val="16"/>
            </w:rPr>
            <w:t>1959-A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16216"/>
    <w:multiLevelType w:val="hybridMultilevel"/>
    <w:tmpl w:val="8432E688"/>
    <w:lvl w:ilvl="0" w:tplc="B2D87828">
      <w:start w:val="1"/>
      <w:numFmt w:val="decimal"/>
      <w:lvlText w:val="%1."/>
      <w:lvlJc w:val="left"/>
      <w:pPr>
        <w:ind w:left="1080" w:hanging="360"/>
      </w:pPr>
      <w:rPr>
        <w:rFonts w:ascii="Arial" w:hAnsi="Arial" w:cs="Arial" w:hint="default"/>
        <w:b w:val="0"/>
        <w:sz w:val="20"/>
        <w:szCs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8D26F2"/>
    <w:multiLevelType w:val="hybridMultilevel"/>
    <w:tmpl w:val="8A6E0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D83224"/>
    <w:multiLevelType w:val="hybridMultilevel"/>
    <w:tmpl w:val="8A80D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2C801DC"/>
    <w:multiLevelType w:val="hybridMultilevel"/>
    <w:tmpl w:val="036E0860"/>
    <w:lvl w:ilvl="0" w:tplc="9B1E5ECE">
      <w:start w:val="1"/>
      <w:numFmt w:val="upperLetter"/>
      <w:pStyle w:val="ReferenceInternal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3759C7"/>
    <w:multiLevelType w:val="hybridMultilevel"/>
    <w:tmpl w:val="814CC9AA"/>
    <w:lvl w:ilvl="0" w:tplc="2626DC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F167B2"/>
    <w:multiLevelType w:val="hybridMultilevel"/>
    <w:tmpl w:val="ED74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977848"/>
    <w:multiLevelType w:val="hybridMultilevel"/>
    <w:tmpl w:val="73A2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ED5D60"/>
    <w:multiLevelType w:val="hybridMultilevel"/>
    <w:tmpl w:val="AD8089DA"/>
    <w:lvl w:ilvl="0" w:tplc="FD9E1AA0">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0C4DA4"/>
    <w:multiLevelType w:val="hybridMultilevel"/>
    <w:tmpl w:val="28FEE84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4"/>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5"/>
  </w:num>
  <w:num w:numId="15" w16cid:durableId="616722934">
    <w:abstractNumId w:val="11"/>
  </w:num>
  <w:num w:numId="16" w16cid:durableId="898320195">
    <w:abstractNumId w:val="21"/>
  </w:num>
  <w:num w:numId="17" w16cid:durableId="2128498676">
    <w:abstractNumId w:val="32"/>
  </w:num>
  <w:num w:numId="18" w16cid:durableId="299724409">
    <w:abstractNumId w:val="26"/>
  </w:num>
  <w:num w:numId="19" w16cid:durableId="214585573">
    <w:abstractNumId w:val="16"/>
  </w:num>
  <w:num w:numId="20" w16cid:durableId="1289816170">
    <w:abstractNumId w:val="17"/>
  </w:num>
  <w:num w:numId="21" w16cid:durableId="1066490929">
    <w:abstractNumId w:val="33"/>
  </w:num>
  <w:num w:numId="22" w16cid:durableId="1472481103">
    <w:abstractNumId w:val="28"/>
  </w:num>
  <w:num w:numId="23" w16cid:durableId="1997420403">
    <w:abstractNumId w:val="31"/>
  </w:num>
  <w:num w:numId="24" w16cid:durableId="33312838">
    <w:abstractNumId w:val="27"/>
  </w:num>
  <w:num w:numId="25" w16cid:durableId="507404939">
    <w:abstractNumId w:val="20"/>
  </w:num>
  <w:num w:numId="26" w16cid:durableId="813793076">
    <w:abstractNumId w:val="22"/>
  </w:num>
  <w:num w:numId="27" w16cid:durableId="1212885158">
    <w:abstractNumId w:val="19"/>
  </w:num>
  <w:num w:numId="28" w16cid:durableId="617224001">
    <w:abstractNumId w:val="23"/>
  </w:num>
  <w:num w:numId="29" w16cid:durableId="1829052391">
    <w:abstractNumId w:val="12"/>
  </w:num>
  <w:num w:numId="30" w16cid:durableId="550462831">
    <w:abstractNumId w:val="13"/>
  </w:num>
  <w:num w:numId="31" w16cid:durableId="2002153590">
    <w:abstractNumId w:val="10"/>
  </w:num>
  <w:num w:numId="32" w16cid:durableId="758327474">
    <w:abstractNumId w:val="29"/>
  </w:num>
  <w:num w:numId="33" w16cid:durableId="498741843">
    <w:abstractNumId w:val="33"/>
  </w:num>
  <w:num w:numId="34" w16cid:durableId="1418670691">
    <w:abstractNumId w:val="33"/>
  </w:num>
  <w:num w:numId="35" w16cid:durableId="723062183">
    <w:abstractNumId w:val="18"/>
  </w:num>
  <w:num w:numId="36" w16cid:durableId="929922282">
    <w:abstractNumId w:val="33"/>
  </w:num>
  <w:num w:numId="37" w16cid:durableId="3483848">
    <w:abstractNumId w:val="24"/>
  </w:num>
  <w:num w:numId="38" w16cid:durableId="811413418">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3A8"/>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499"/>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4609"/>
    <w:rsid w:val="0003572F"/>
    <w:rsid w:val="00036079"/>
    <w:rsid w:val="00036DBA"/>
    <w:rsid w:val="00037636"/>
    <w:rsid w:val="00037A95"/>
    <w:rsid w:val="000406B9"/>
    <w:rsid w:val="0004226E"/>
    <w:rsid w:val="000425B0"/>
    <w:rsid w:val="00043056"/>
    <w:rsid w:val="0004480D"/>
    <w:rsid w:val="00046912"/>
    <w:rsid w:val="00046BD3"/>
    <w:rsid w:val="00046C3C"/>
    <w:rsid w:val="0004745F"/>
    <w:rsid w:val="0004753B"/>
    <w:rsid w:val="00047680"/>
    <w:rsid w:val="00047C5A"/>
    <w:rsid w:val="00050B10"/>
    <w:rsid w:val="00050C8A"/>
    <w:rsid w:val="000510B4"/>
    <w:rsid w:val="00051356"/>
    <w:rsid w:val="00051699"/>
    <w:rsid w:val="000517FF"/>
    <w:rsid w:val="0005206D"/>
    <w:rsid w:val="000524EC"/>
    <w:rsid w:val="000527D0"/>
    <w:rsid w:val="00052989"/>
    <w:rsid w:val="00054212"/>
    <w:rsid w:val="00054638"/>
    <w:rsid w:val="000548A4"/>
    <w:rsid w:val="000548E0"/>
    <w:rsid w:val="00055347"/>
    <w:rsid w:val="000554ED"/>
    <w:rsid w:val="00055897"/>
    <w:rsid w:val="000561B5"/>
    <w:rsid w:val="000564BC"/>
    <w:rsid w:val="00057358"/>
    <w:rsid w:val="00057C68"/>
    <w:rsid w:val="00057CD8"/>
    <w:rsid w:val="00060959"/>
    <w:rsid w:val="000609B8"/>
    <w:rsid w:val="00061085"/>
    <w:rsid w:val="00061145"/>
    <w:rsid w:val="00062816"/>
    <w:rsid w:val="00063011"/>
    <w:rsid w:val="00064347"/>
    <w:rsid w:val="00064396"/>
    <w:rsid w:val="00065AC6"/>
    <w:rsid w:val="00065F7B"/>
    <w:rsid w:val="00066D4B"/>
    <w:rsid w:val="0006765E"/>
    <w:rsid w:val="00067732"/>
    <w:rsid w:val="0006774C"/>
    <w:rsid w:val="00070758"/>
    <w:rsid w:val="00070C48"/>
    <w:rsid w:val="00070F03"/>
    <w:rsid w:val="000717F6"/>
    <w:rsid w:val="00071A7F"/>
    <w:rsid w:val="0007286F"/>
    <w:rsid w:val="000749E4"/>
    <w:rsid w:val="00074BFE"/>
    <w:rsid w:val="00075C18"/>
    <w:rsid w:val="000760A2"/>
    <w:rsid w:val="000760F2"/>
    <w:rsid w:val="00076FED"/>
    <w:rsid w:val="000771F0"/>
    <w:rsid w:val="00077C0D"/>
    <w:rsid w:val="00080866"/>
    <w:rsid w:val="0008114A"/>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781"/>
    <w:rsid w:val="00095B9C"/>
    <w:rsid w:val="0009781E"/>
    <w:rsid w:val="000A0CCE"/>
    <w:rsid w:val="000A1653"/>
    <w:rsid w:val="000A1ACD"/>
    <w:rsid w:val="000A252E"/>
    <w:rsid w:val="000A2697"/>
    <w:rsid w:val="000A34B0"/>
    <w:rsid w:val="000A3543"/>
    <w:rsid w:val="000A42D7"/>
    <w:rsid w:val="000A5AE5"/>
    <w:rsid w:val="000A71EC"/>
    <w:rsid w:val="000A7D51"/>
    <w:rsid w:val="000A7FD3"/>
    <w:rsid w:val="000B0F9D"/>
    <w:rsid w:val="000B104D"/>
    <w:rsid w:val="000B1961"/>
    <w:rsid w:val="000B20CD"/>
    <w:rsid w:val="000B407B"/>
    <w:rsid w:val="000B40A1"/>
    <w:rsid w:val="000B57DC"/>
    <w:rsid w:val="000B5871"/>
    <w:rsid w:val="000B58E9"/>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02"/>
    <w:rsid w:val="000C78EA"/>
    <w:rsid w:val="000C7B51"/>
    <w:rsid w:val="000C7EA2"/>
    <w:rsid w:val="000D0438"/>
    <w:rsid w:val="000D04AF"/>
    <w:rsid w:val="000D1463"/>
    <w:rsid w:val="000D19C4"/>
    <w:rsid w:val="000D1D17"/>
    <w:rsid w:val="000D2496"/>
    <w:rsid w:val="000D24FD"/>
    <w:rsid w:val="000D2780"/>
    <w:rsid w:val="000D31D7"/>
    <w:rsid w:val="000D39D5"/>
    <w:rsid w:val="000D44C7"/>
    <w:rsid w:val="000D454D"/>
    <w:rsid w:val="000D4EA4"/>
    <w:rsid w:val="000D502B"/>
    <w:rsid w:val="000D5101"/>
    <w:rsid w:val="000D548B"/>
    <w:rsid w:val="000D5978"/>
    <w:rsid w:val="000D5D4B"/>
    <w:rsid w:val="000E0438"/>
    <w:rsid w:val="000E095D"/>
    <w:rsid w:val="000E0C62"/>
    <w:rsid w:val="000E24FA"/>
    <w:rsid w:val="000E2ECC"/>
    <w:rsid w:val="000E313D"/>
    <w:rsid w:val="000E31B1"/>
    <w:rsid w:val="000E37E4"/>
    <w:rsid w:val="000E3A1B"/>
    <w:rsid w:val="000E3DD4"/>
    <w:rsid w:val="000E59A1"/>
    <w:rsid w:val="000E65C5"/>
    <w:rsid w:val="000E67C5"/>
    <w:rsid w:val="000E6D53"/>
    <w:rsid w:val="000E7263"/>
    <w:rsid w:val="000E7B01"/>
    <w:rsid w:val="000E7C60"/>
    <w:rsid w:val="000F0AC9"/>
    <w:rsid w:val="000F1039"/>
    <w:rsid w:val="000F1FBC"/>
    <w:rsid w:val="000F2A45"/>
    <w:rsid w:val="000F3023"/>
    <w:rsid w:val="000F3BDB"/>
    <w:rsid w:val="000F41E3"/>
    <w:rsid w:val="000F4745"/>
    <w:rsid w:val="000F5383"/>
    <w:rsid w:val="000F5A0F"/>
    <w:rsid w:val="000F61E0"/>
    <w:rsid w:val="000F677F"/>
    <w:rsid w:val="000F69A0"/>
    <w:rsid w:val="000F6E71"/>
    <w:rsid w:val="000F75BA"/>
    <w:rsid w:val="001002D3"/>
    <w:rsid w:val="001012A6"/>
    <w:rsid w:val="00101748"/>
    <w:rsid w:val="00101C90"/>
    <w:rsid w:val="00101D40"/>
    <w:rsid w:val="0010327C"/>
    <w:rsid w:val="00103E4B"/>
    <w:rsid w:val="00103E71"/>
    <w:rsid w:val="00104849"/>
    <w:rsid w:val="00104F2A"/>
    <w:rsid w:val="0010527A"/>
    <w:rsid w:val="001054B4"/>
    <w:rsid w:val="00105956"/>
    <w:rsid w:val="00107151"/>
    <w:rsid w:val="00107394"/>
    <w:rsid w:val="001074E7"/>
    <w:rsid w:val="001075C1"/>
    <w:rsid w:val="00107B1D"/>
    <w:rsid w:val="00110AF8"/>
    <w:rsid w:val="00110DE3"/>
    <w:rsid w:val="00110F57"/>
    <w:rsid w:val="00111842"/>
    <w:rsid w:val="001120B7"/>
    <w:rsid w:val="00112F3A"/>
    <w:rsid w:val="0011411C"/>
    <w:rsid w:val="00115519"/>
    <w:rsid w:val="001155D7"/>
    <w:rsid w:val="001156BC"/>
    <w:rsid w:val="001159B3"/>
    <w:rsid w:val="0011622E"/>
    <w:rsid w:val="00117495"/>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369"/>
    <w:rsid w:val="00155A51"/>
    <w:rsid w:val="001560C4"/>
    <w:rsid w:val="00156A50"/>
    <w:rsid w:val="00156B77"/>
    <w:rsid w:val="00156E31"/>
    <w:rsid w:val="00160472"/>
    <w:rsid w:val="001615A5"/>
    <w:rsid w:val="00162951"/>
    <w:rsid w:val="001630B4"/>
    <w:rsid w:val="0016314A"/>
    <w:rsid w:val="00165258"/>
    <w:rsid w:val="00165670"/>
    <w:rsid w:val="00165A99"/>
    <w:rsid w:val="00165C29"/>
    <w:rsid w:val="001675AA"/>
    <w:rsid w:val="00170325"/>
    <w:rsid w:val="00173AB9"/>
    <w:rsid w:val="001747DB"/>
    <w:rsid w:val="00174F3B"/>
    <w:rsid w:val="00175B12"/>
    <w:rsid w:val="00175F8E"/>
    <w:rsid w:val="00176167"/>
    <w:rsid w:val="001765F4"/>
    <w:rsid w:val="00176A70"/>
    <w:rsid w:val="0017701E"/>
    <w:rsid w:val="00177020"/>
    <w:rsid w:val="0018072F"/>
    <w:rsid w:val="00180A53"/>
    <w:rsid w:val="00181BB0"/>
    <w:rsid w:val="00182BBD"/>
    <w:rsid w:val="00182C96"/>
    <w:rsid w:val="001837BD"/>
    <w:rsid w:val="00184460"/>
    <w:rsid w:val="0018562F"/>
    <w:rsid w:val="0018575D"/>
    <w:rsid w:val="001857E3"/>
    <w:rsid w:val="0018586D"/>
    <w:rsid w:val="001858C6"/>
    <w:rsid w:val="00185A9C"/>
    <w:rsid w:val="00185C58"/>
    <w:rsid w:val="00186758"/>
    <w:rsid w:val="00186C9A"/>
    <w:rsid w:val="001878E7"/>
    <w:rsid w:val="00187BCC"/>
    <w:rsid w:val="00190200"/>
    <w:rsid w:val="001914C8"/>
    <w:rsid w:val="001916D1"/>
    <w:rsid w:val="00191904"/>
    <w:rsid w:val="00192769"/>
    <w:rsid w:val="001933EE"/>
    <w:rsid w:val="00193696"/>
    <w:rsid w:val="001944B7"/>
    <w:rsid w:val="001952B4"/>
    <w:rsid w:val="0019677F"/>
    <w:rsid w:val="0019733B"/>
    <w:rsid w:val="00197771"/>
    <w:rsid w:val="001A0E7C"/>
    <w:rsid w:val="001A2781"/>
    <w:rsid w:val="001A28D0"/>
    <w:rsid w:val="001A2987"/>
    <w:rsid w:val="001A320A"/>
    <w:rsid w:val="001A33ED"/>
    <w:rsid w:val="001A432C"/>
    <w:rsid w:val="001A4AA6"/>
    <w:rsid w:val="001A4C1C"/>
    <w:rsid w:val="001A4DBB"/>
    <w:rsid w:val="001A55B8"/>
    <w:rsid w:val="001A576D"/>
    <w:rsid w:val="001A57C5"/>
    <w:rsid w:val="001A6053"/>
    <w:rsid w:val="001A7761"/>
    <w:rsid w:val="001A7D8D"/>
    <w:rsid w:val="001B0805"/>
    <w:rsid w:val="001B36EB"/>
    <w:rsid w:val="001B459A"/>
    <w:rsid w:val="001B4C8F"/>
    <w:rsid w:val="001B5232"/>
    <w:rsid w:val="001B6FFC"/>
    <w:rsid w:val="001B72C7"/>
    <w:rsid w:val="001C1125"/>
    <w:rsid w:val="001C1C00"/>
    <w:rsid w:val="001C1C5D"/>
    <w:rsid w:val="001C2409"/>
    <w:rsid w:val="001C42C0"/>
    <w:rsid w:val="001C4413"/>
    <w:rsid w:val="001C48CF"/>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A70"/>
    <w:rsid w:val="001D2E27"/>
    <w:rsid w:val="001D3050"/>
    <w:rsid w:val="001D3206"/>
    <w:rsid w:val="001D36C8"/>
    <w:rsid w:val="001D4343"/>
    <w:rsid w:val="001D536B"/>
    <w:rsid w:val="001D56F3"/>
    <w:rsid w:val="001D595E"/>
    <w:rsid w:val="001D5AA2"/>
    <w:rsid w:val="001D694B"/>
    <w:rsid w:val="001D7651"/>
    <w:rsid w:val="001E0D36"/>
    <w:rsid w:val="001E43E4"/>
    <w:rsid w:val="001E4A5F"/>
    <w:rsid w:val="001E5707"/>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26B"/>
    <w:rsid w:val="00204EAC"/>
    <w:rsid w:val="002063D0"/>
    <w:rsid w:val="00206414"/>
    <w:rsid w:val="00206AB1"/>
    <w:rsid w:val="0020721A"/>
    <w:rsid w:val="002077DB"/>
    <w:rsid w:val="00207EA9"/>
    <w:rsid w:val="00210959"/>
    <w:rsid w:val="00211DE1"/>
    <w:rsid w:val="00212062"/>
    <w:rsid w:val="00213310"/>
    <w:rsid w:val="00213342"/>
    <w:rsid w:val="002134FD"/>
    <w:rsid w:val="002140F4"/>
    <w:rsid w:val="0021437E"/>
    <w:rsid w:val="0021440B"/>
    <w:rsid w:val="0021446F"/>
    <w:rsid w:val="002149D5"/>
    <w:rsid w:val="00215A86"/>
    <w:rsid w:val="00215B40"/>
    <w:rsid w:val="002173D5"/>
    <w:rsid w:val="00217AC2"/>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C96"/>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37AF9"/>
    <w:rsid w:val="00240136"/>
    <w:rsid w:val="00240736"/>
    <w:rsid w:val="00240C70"/>
    <w:rsid w:val="00240EE4"/>
    <w:rsid w:val="0024185D"/>
    <w:rsid w:val="002423DE"/>
    <w:rsid w:val="00242E29"/>
    <w:rsid w:val="00242F54"/>
    <w:rsid w:val="00243017"/>
    <w:rsid w:val="0024305D"/>
    <w:rsid w:val="00244442"/>
    <w:rsid w:val="0024498F"/>
    <w:rsid w:val="0024727E"/>
    <w:rsid w:val="002479C1"/>
    <w:rsid w:val="002504F9"/>
    <w:rsid w:val="00250C39"/>
    <w:rsid w:val="00250E25"/>
    <w:rsid w:val="00251EE2"/>
    <w:rsid w:val="00252CE1"/>
    <w:rsid w:val="0025338B"/>
    <w:rsid w:val="0025395A"/>
    <w:rsid w:val="00253B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4FEE"/>
    <w:rsid w:val="00265457"/>
    <w:rsid w:val="00265727"/>
    <w:rsid w:val="00265B2A"/>
    <w:rsid w:val="00265E1F"/>
    <w:rsid w:val="00265FEB"/>
    <w:rsid w:val="0026630E"/>
    <w:rsid w:val="0026796B"/>
    <w:rsid w:val="00267A90"/>
    <w:rsid w:val="002705E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6BF2"/>
    <w:rsid w:val="002872B8"/>
    <w:rsid w:val="002872F2"/>
    <w:rsid w:val="002874B8"/>
    <w:rsid w:val="00287951"/>
    <w:rsid w:val="00287B8B"/>
    <w:rsid w:val="00287F2F"/>
    <w:rsid w:val="0029040C"/>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E1A"/>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5BFE"/>
    <w:rsid w:val="002B6A94"/>
    <w:rsid w:val="002B6D38"/>
    <w:rsid w:val="002B751E"/>
    <w:rsid w:val="002B7A9E"/>
    <w:rsid w:val="002B7F07"/>
    <w:rsid w:val="002B7FDB"/>
    <w:rsid w:val="002C0682"/>
    <w:rsid w:val="002C0944"/>
    <w:rsid w:val="002C0ED4"/>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D51"/>
    <w:rsid w:val="00301F62"/>
    <w:rsid w:val="00302DBD"/>
    <w:rsid w:val="003030D7"/>
    <w:rsid w:val="00304F20"/>
    <w:rsid w:val="00305223"/>
    <w:rsid w:val="00305A72"/>
    <w:rsid w:val="00305BDF"/>
    <w:rsid w:val="00305F83"/>
    <w:rsid w:val="00306B2E"/>
    <w:rsid w:val="003070FF"/>
    <w:rsid w:val="0030730E"/>
    <w:rsid w:val="00307499"/>
    <w:rsid w:val="00307DCC"/>
    <w:rsid w:val="003116A8"/>
    <w:rsid w:val="003127DD"/>
    <w:rsid w:val="00312E1C"/>
    <w:rsid w:val="00313EB3"/>
    <w:rsid w:val="00313FC5"/>
    <w:rsid w:val="00314E50"/>
    <w:rsid w:val="00315003"/>
    <w:rsid w:val="00315D6F"/>
    <w:rsid w:val="0031682D"/>
    <w:rsid w:val="00316DC1"/>
    <w:rsid w:val="00320652"/>
    <w:rsid w:val="003213DE"/>
    <w:rsid w:val="00321446"/>
    <w:rsid w:val="00322852"/>
    <w:rsid w:val="00322EB1"/>
    <w:rsid w:val="00323534"/>
    <w:rsid w:val="003242E2"/>
    <w:rsid w:val="003254F4"/>
    <w:rsid w:val="00325919"/>
    <w:rsid w:val="003262EA"/>
    <w:rsid w:val="003264FA"/>
    <w:rsid w:val="0032667A"/>
    <w:rsid w:val="0032670A"/>
    <w:rsid w:val="00326990"/>
    <w:rsid w:val="00327428"/>
    <w:rsid w:val="00327C29"/>
    <w:rsid w:val="00330E29"/>
    <w:rsid w:val="003319A7"/>
    <w:rsid w:val="00332104"/>
    <w:rsid w:val="00332261"/>
    <w:rsid w:val="0033231E"/>
    <w:rsid w:val="00332892"/>
    <w:rsid w:val="0033351E"/>
    <w:rsid w:val="00333878"/>
    <w:rsid w:val="00333FEE"/>
    <w:rsid w:val="00334C99"/>
    <w:rsid w:val="003357AB"/>
    <w:rsid w:val="003363E7"/>
    <w:rsid w:val="003364EB"/>
    <w:rsid w:val="00336990"/>
    <w:rsid w:val="0034083D"/>
    <w:rsid w:val="003409BE"/>
    <w:rsid w:val="00340B83"/>
    <w:rsid w:val="00341929"/>
    <w:rsid w:val="00341E1A"/>
    <w:rsid w:val="00341F47"/>
    <w:rsid w:val="00342365"/>
    <w:rsid w:val="00343BE2"/>
    <w:rsid w:val="00343E90"/>
    <w:rsid w:val="00344EFE"/>
    <w:rsid w:val="003468AA"/>
    <w:rsid w:val="00346D5D"/>
    <w:rsid w:val="00347C02"/>
    <w:rsid w:val="0035060B"/>
    <w:rsid w:val="00350DF1"/>
    <w:rsid w:val="003524E5"/>
    <w:rsid w:val="00352959"/>
    <w:rsid w:val="00352B5E"/>
    <w:rsid w:val="00352BC7"/>
    <w:rsid w:val="003543BE"/>
    <w:rsid w:val="00354AE7"/>
    <w:rsid w:val="00354CFD"/>
    <w:rsid w:val="00355509"/>
    <w:rsid w:val="003559A1"/>
    <w:rsid w:val="00355DCF"/>
    <w:rsid w:val="003569BC"/>
    <w:rsid w:val="003608FE"/>
    <w:rsid w:val="00360F75"/>
    <w:rsid w:val="00362CE9"/>
    <w:rsid w:val="003635B4"/>
    <w:rsid w:val="00363EF7"/>
    <w:rsid w:val="00363F55"/>
    <w:rsid w:val="0036404E"/>
    <w:rsid w:val="00364436"/>
    <w:rsid w:val="003647D7"/>
    <w:rsid w:val="003649B7"/>
    <w:rsid w:val="00364A41"/>
    <w:rsid w:val="00364AC1"/>
    <w:rsid w:val="00364CF9"/>
    <w:rsid w:val="003656E0"/>
    <w:rsid w:val="00365E9F"/>
    <w:rsid w:val="003664C9"/>
    <w:rsid w:val="00366871"/>
    <w:rsid w:val="00367117"/>
    <w:rsid w:val="00367AE6"/>
    <w:rsid w:val="0037016F"/>
    <w:rsid w:val="00370374"/>
    <w:rsid w:val="00370E1C"/>
    <w:rsid w:val="00371901"/>
    <w:rsid w:val="00372A21"/>
    <w:rsid w:val="00372D58"/>
    <w:rsid w:val="00372FCD"/>
    <w:rsid w:val="0037333D"/>
    <w:rsid w:val="00374540"/>
    <w:rsid w:val="003748C8"/>
    <w:rsid w:val="003753D0"/>
    <w:rsid w:val="003756FF"/>
    <w:rsid w:val="0037580F"/>
    <w:rsid w:val="0037664E"/>
    <w:rsid w:val="003777A6"/>
    <w:rsid w:val="00377D50"/>
    <w:rsid w:val="00381B05"/>
    <w:rsid w:val="00381B16"/>
    <w:rsid w:val="0038248C"/>
    <w:rsid w:val="003825FF"/>
    <w:rsid w:val="00382C29"/>
    <w:rsid w:val="00382C85"/>
    <w:rsid w:val="0038309E"/>
    <w:rsid w:val="00383F65"/>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97C76"/>
    <w:rsid w:val="003A0693"/>
    <w:rsid w:val="003A2056"/>
    <w:rsid w:val="003A4B3A"/>
    <w:rsid w:val="003A4BCA"/>
    <w:rsid w:val="003A5707"/>
    <w:rsid w:val="003A6459"/>
    <w:rsid w:val="003A7860"/>
    <w:rsid w:val="003A796A"/>
    <w:rsid w:val="003B009E"/>
    <w:rsid w:val="003B1472"/>
    <w:rsid w:val="003B1A5F"/>
    <w:rsid w:val="003B1D0F"/>
    <w:rsid w:val="003B282B"/>
    <w:rsid w:val="003B2B19"/>
    <w:rsid w:val="003B4BC1"/>
    <w:rsid w:val="003B4FB6"/>
    <w:rsid w:val="003B55EF"/>
    <w:rsid w:val="003B597D"/>
    <w:rsid w:val="003B5A8C"/>
    <w:rsid w:val="003B5C47"/>
    <w:rsid w:val="003B6158"/>
    <w:rsid w:val="003B7DE9"/>
    <w:rsid w:val="003C1553"/>
    <w:rsid w:val="003C1EA0"/>
    <w:rsid w:val="003C2846"/>
    <w:rsid w:val="003C2AB0"/>
    <w:rsid w:val="003C2DBA"/>
    <w:rsid w:val="003C2F46"/>
    <w:rsid w:val="003C3B92"/>
    <w:rsid w:val="003C3EB1"/>
    <w:rsid w:val="003C47E1"/>
    <w:rsid w:val="003C4CD4"/>
    <w:rsid w:val="003C66DD"/>
    <w:rsid w:val="003C6EB7"/>
    <w:rsid w:val="003C6ED6"/>
    <w:rsid w:val="003C7530"/>
    <w:rsid w:val="003D0BBA"/>
    <w:rsid w:val="003D1472"/>
    <w:rsid w:val="003D16A3"/>
    <w:rsid w:val="003D1B9C"/>
    <w:rsid w:val="003D1FBC"/>
    <w:rsid w:val="003D240A"/>
    <w:rsid w:val="003D2BE7"/>
    <w:rsid w:val="003D2ECF"/>
    <w:rsid w:val="003D37ED"/>
    <w:rsid w:val="003D395A"/>
    <w:rsid w:val="003D46B0"/>
    <w:rsid w:val="003D4767"/>
    <w:rsid w:val="003D542C"/>
    <w:rsid w:val="003D6970"/>
    <w:rsid w:val="003D6BFA"/>
    <w:rsid w:val="003D6C2D"/>
    <w:rsid w:val="003E155B"/>
    <w:rsid w:val="003E1C0F"/>
    <w:rsid w:val="003E28D8"/>
    <w:rsid w:val="003E3201"/>
    <w:rsid w:val="003E3F3B"/>
    <w:rsid w:val="003E4C87"/>
    <w:rsid w:val="003E54DE"/>
    <w:rsid w:val="003E57BF"/>
    <w:rsid w:val="003E6FC2"/>
    <w:rsid w:val="003E7191"/>
    <w:rsid w:val="003E7944"/>
    <w:rsid w:val="003F057E"/>
    <w:rsid w:val="003F1304"/>
    <w:rsid w:val="003F21EE"/>
    <w:rsid w:val="003F2C67"/>
    <w:rsid w:val="003F5824"/>
    <w:rsid w:val="003F61E0"/>
    <w:rsid w:val="003F641B"/>
    <w:rsid w:val="003F6B36"/>
    <w:rsid w:val="003F75BB"/>
    <w:rsid w:val="003F7A17"/>
    <w:rsid w:val="003F7E75"/>
    <w:rsid w:val="004014D1"/>
    <w:rsid w:val="00401820"/>
    <w:rsid w:val="00402C8F"/>
    <w:rsid w:val="00402FED"/>
    <w:rsid w:val="00403087"/>
    <w:rsid w:val="004032A5"/>
    <w:rsid w:val="0040594C"/>
    <w:rsid w:val="00405B8C"/>
    <w:rsid w:val="00405C5D"/>
    <w:rsid w:val="00407C38"/>
    <w:rsid w:val="0041061B"/>
    <w:rsid w:val="00411195"/>
    <w:rsid w:val="00411413"/>
    <w:rsid w:val="004127A0"/>
    <w:rsid w:val="00412ABD"/>
    <w:rsid w:val="00412C14"/>
    <w:rsid w:val="00413801"/>
    <w:rsid w:val="00413861"/>
    <w:rsid w:val="0041471C"/>
    <w:rsid w:val="004154F5"/>
    <w:rsid w:val="0041567E"/>
    <w:rsid w:val="004159B2"/>
    <w:rsid w:val="00416A6D"/>
    <w:rsid w:val="00420227"/>
    <w:rsid w:val="00420545"/>
    <w:rsid w:val="00420E1B"/>
    <w:rsid w:val="00420EE4"/>
    <w:rsid w:val="00421305"/>
    <w:rsid w:val="0042209A"/>
    <w:rsid w:val="0042222E"/>
    <w:rsid w:val="00422416"/>
    <w:rsid w:val="004226CD"/>
    <w:rsid w:val="00422766"/>
    <w:rsid w:val="004236F4"/>
    <w:rsid w:val="00423C96"/>
    <w:rsid w:val="00424A34"/>
    <w:rsid w:val="00425453"/>
    <w:rsid w:val="004260D4"/>
    <w:rsid w:val="004260DE"/>
    <w:rsid w:val="0042761F"/>
    <w:rsid w:val="00427B15"/>
    <w:rsid w:val="00430B2F"/>
    <w:rsid w:val="004310DD"/>
    <w:rsid w:val="00431634"/>
    <w:rsid w:val="00431A2D"/>
    <w:rsid w:val="00431D2B"/>
    <w:rsid w:val="00431EB7"/>
    <w:rsid w:val="00432215"/>
    <w:rsid w:val="00433A31"/>
    <w:rsid w:val="00433E3A"/>
    <w:rsid w:val="00433EE2"/>
    <w:rsid w:val="00434C45"/>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742"/>
    <w:rsid w:val="00446920"/>
    <w:rsid w:val="00446A96"/>
    <w:rsid w:val="00446C00"/>
    <w:rsid w:val="004471E9"/>
    <w:rsid w:val="004474C1"/>
    <w:rsid w:val="0044763A"/>
    <w:rsid w:val="00447E12"/>
    <w:rsid w:val="004507D8"/>
    <w:rsid w:val="00451431"/>
    <w:rsid w:val="004516EC"/>
    <w:rsid w:val="004522B5"/>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5F99"/>
    <w:rsid w:val="00467039"/>
    <w:rsid w:val="0046758D"/>
    <w:rsid w:val="0046774D"/>
    <w:rsid w:val="004701D8"/>
    <w:rsid w:val="00470A2B"/>
    <w:rsid w:val="004715B7"/>
    <w:rsid w:val="004715CD"/>
    <w:rsid w:val="00471CB4"/>
    <w:rsid w:val="00472590"/>
    <w:rsid w:val="00472BA6"/>
    <w:rsid w:val="00472D92"/>
    <w:rsid w:val="004733F3"/>
    <w:rsid w:val="004743A7"/>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8FA"/>
    <w:rsid w:val="0048493C"/>
    <w:rsid w:val="004849F7"/>
    <w:rsid w:val="0048525A"/>
    <w:rsid w:val="00485778"/>
    <w:rsid w:val="00485AD8"/>
    <w:rsid w:val="00485EC2"/>
    <w:rsid w:val="00486013"/>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342"/>
    <w:rsid w:val="00497D66"/>
    <w:rsid w:val="004A0605"/>
    <w:rsid w:val="004A0803"/>
    <w:rsid w:val="004A0BF7"/>
    <w:rsid w:val="004A0F44"/>
    <w:rsid w:val="004A23E2"/>
    <w:rsid w:val="004A261A"/>
    <w:rsid w:val="004A36A8"/>
    <w:rsid w:val="004A37EB"/>
    <w:rsid w:val="004A3A2D"/>
    <w:rsid w:val="004A3CCF"/>
    <w:rsid w:val="004A476E"/>
    <w:rsid w:val="004A5096"/>
    <w:rsid w:val="004A5DC0"/>
    <w:rsid w:val="004A603F"/>
    <w:rsid w:val="004A64E5"/>
    <w:rsid w:val="004A66A6"/>
    <w:rsid w:val="004A6AB4"/>
    <w:rsid w:val="004A7239"/>
    <w:rsid w:val="004A75B0"/>
    <w:rsid w:val="004A78CD"/>
    <w:rsid w:val="004A7A22"/>
    <w:rsid w:val="004B0D3E"/>
    <w:rsid w:val="004B0F4B"/>
    <w:rsid w:val="004B15BB"/>
    <w:rsid w:val="004B1639"/>
    <w:rsid w:val="004B1EDB"/>
    <w:rsid w:val="004B238F"/>
    <w:rsid w:val="004B2869"/>
    <w:rsid w:val="004B384B"/>
    <w:rsid w:val="004B393A"/>
    <w:rsid w:val="004B3ECE"/>
    <w:rsid w:val="004B3F99"/>
    <w:rsid w:val="004B42FA"/>
    <w:rsid w:val="004B4E86"/>
    <w:rsid w:val="004B4FE3"/>
    <w:rsid w:val="004B504B"/>
    <w:rsid w:val="004B50BB"/>
    <w:rsid w:val="004B5614"/>
    <w:rsid w:val="004B5877"/>
    <w:rsid w:val="004B5B65"/>
    <w:rsid w:val="004B73E5"/>
    <w:rsid w:val="004B758F"/>
    <w:rsid w:val="004C00B9"/>
    <w:rsid w:val="004C03AC"/>
    <w:rsid w:val="004C0A3F"/>
    <w:rsid w:val="004C32BE"/>
    <w:rsid w:val="004C3F91"/>
    <w:rsid w:val="004C4493"/>
    <w:rsid w:val="004C45E2"/>
    <w:rsid w:val="004C4D0C"/>
    <w:rsid w:val="004C53B2"/>
    <w:rsid w:val="004C5596"/>
    <w:rsid w:val="004C5A25"/>
    <w:rsid w:val="004C64EE"/>
    <w:rsid w:val="004C6FCE"/>
    <w:rsid w:val="004C7E69"/>
    <w:rsid w:val="004D0231"/>
    <w:rsid w:val="004D066D"/>
    <w:rsid w:val="004D1409"/>
    <w:rsid w:val="004D1852"/>
    <w:rsid w:val="004D1AAF"/>
    <w:rsid w:val="004D24E3"/>
    <w:rsid w:val="004D25DC"/>
    <w:rsid w:val="004D2D1C"/>
    <w:rsid w:val="004D2EAF"/>
    <w:rsid w:val="004D3791"/>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0E74"/>
    <w:rsid w:val="004F1A5E"/>
    <w:rsid w:val="004F1F59"/>
    <w:rsid w:val="004F2E2A"/>
    <w:rsid w:val="004F34FF"/>
    <w:rsid w:val="004F3628"/>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53E"/>
    <w:rsid w:val="0050562E"/>
    <w:rsid w:val="005057A5"/>
    <w:rsid w:val="00505BEF"/>
    <w:rsid w:val="0050618F"/>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0F98"/>
    <w:rsid w:val="005210A8"/>
    <w:rsid w:val="00521489"/>
    <w:rsid w:val="00521874"/>
    <w:rsid w:val="0052196B"/>
    <w:rsid w:val="005228DA"/>
    <w:rsid w:val="005233C0"/>
    <w:rsid w:val="00524FAE"/>
    <w:rsid w:val="00525A0E"/>
    <w:rsid w:val="00525DDE"/>
    <w:rsid w:val="00527038"/>
    <w:rsid w:val="00527402"/>
    <w:rsid w:val="005276C8"/>
    <w:rsid w:val="00527DF6"/>
    <w:rsid w:val="00530F8D"/>
    <w:rsid w:val="005321F2"/>
    <w:rsid w:val="00532398"/>
    <w:rsid w:val="00532F16"/>
    <w:rsid w:val="00533197"/>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5FF7"/>
    <w:rsid w:val="005462B1"/>
    <w:rsid w:val="0054721E"/>
    <w:rsid w:val="00547DC8"/>
    <w:rsid w:val="0055149B"/>
    <w:rsid w:val="00552A6C"/>
    <w:rsid w:val="00552AD2"/>
    <w:rsid w:val="005539ED"/>
    <w:rsid w:val="00553C00"/>
    <w:rsid w:val="00554C8D"/>
    <w:rsid w:val="005553FE"/>
    <w:rsid w:val="005555FB"/>
    <w:rsid w:val="00556A6F"/>
    <w:rsid w:val="0055710E"/>
    <w:rsid w:val="00560433"/>
    <w:rsid w:val="00560464"/>
    <w:rsid w:val="00560623"/>
    <w:rsid w:val="0056090D"/>
    <w:rsid w:val="005615E4"/>
    <w:rsid w:val="0056264F"/>
    <w:rsid w:val="00563842"/>
    <w:rsid w:val="00563B4D"/>
    <w:rsid w:val="00563CD8"/>
    <w:rsid w:val="005648F5"/>
    <w:rsid w:val="005649E6"/>
    <w:rsid w:val="00564B99"/>
    <w:rsid w:val="00564D4C"/>
    <w:rsid w:val="00564E51"/>
    <w:rsid w:val="00565367"/>
    <w:rsid w:val="00565A82"/>
    <w:rsid w:val="00565D50"/>
    <w:rsid w:val="00566202"/>
    <w:rsid w:val="00566784"/>
    <w:rsid w:val="00566B03"/>
    <w:rsid w:val="00566D18"/>
    <w:rsid w:val="00567075"/>
    <w:rsid w:val="0056761E"/>
    <w:rsid w:val="00570364"/>
    <w:rsid w:val="00570FD0"/>
    <w:rsid w:val="00571574"/>
    <w:rsid w:val="0057157F"/>
    <w:rsid w:val="005724E9"/>
    <w:rsid w:val="0057290E"/>
    <w:rsid w:val="00572BE3"/>
    <w:rsid w:val="00572C22"/>
    <w:rsid w:val="00573B96"/>
    <w:rsid w:val="0057408D"/>
    <w:rsid w:val="00574CC2"/>
    <w:rsid w:val="00574D98"/>
    <w:rsid w:val="005752E2"/>
    <w:rsid w:val="0057545A"/>
    <w:rsid w:val="00575FB1"/>
    <w:rsid w:val="00576162"/>
    <w:rsid w:val="00580455"/>
    <w:rsid w:val="005808CA"/>
    <w:rsid w:val="0058115C"/>
    <w:rsid w:val="0058173B"/>
    <w:rsid w:val="005820B6"/>
    <w:rsid w:val="00582153"/>
    <w:rsid w:val="005828B5"/>
    <w:rsid w:val="00582B42"/>
    <w:rsid w:val="005831F0"/>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4F46"/>
    <w:rsid w:val="00596299"/>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B03"/>
    <w:rsid w:val="005A7CF8"/>
    <w:rsid w:val="005B0365"/>
    <w:rsid w:val="005B04D8"/>
    <w:rsid w:val="005B085D"/>
    <w:rsid w:val="005B10B5"/>
    <w:rsid w:val="005B1A17"/>
    <w:rsid w:val="005B1B77"/>
    <w:rsid w:val="005B2321"/>
    <w:rsid w:val="005B28D1"/>
    <w:rsid w:val="005B29C6"/>
    <w:rsid w:val="005B30D4"/>
    <w:rsid w:val="005B425D"/>
    <w:rsid w:val="005B496D"/>
    <w:rsid w:val="005B52C4"/>
    <w:rsid w:val="005B7EFB"/>
    <w:rsid w:val="005C026B"/>
    <w:rsid w:val="005C194C"/>
    <w:rsid w:val="005C2667"/>
    <w:rsid w:val="005C28C9"/>
    <w:rsid w:val="005C295A"/>
    <w:rsid w:val="005C2C21"/>
    <w:rsid w:val="005C3B4F"/>
    <w:rsid w:val="005C44D1"/>
    <w:rsid w:val="005C4AA0"/>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2D8"/>
    <w:rsid w:val="005D5FBB"/>
    <w:rsid w:val="005D7081"/>
    <w:rsid w:val="005D72EF"/>
    <w:rsid w:val="005D7947"/>
    <w:rsid w:val="005D7EA2"/>
    <w:rsid w:val="005E0BD2"/>
    <w:rsid w:val="005E1266"/>
    <w:rsid w:val="005E3453"/>
    <w:rsid w:val="005E3C25"/>
    <w:rsid w:val="005E43AA"/>
    <w:rsid w:val="005E4938"/>
    <w:rsid w:val="005E5674"/>
    <w:rsid w:val="005E5A43"/>
    <w:rsid w:val="005E5EF1"/>
    <w:rsid w:val="005E6A1A"/>
    <w:rsid w:val="005E6AD4"/>
    <w:rsid w:val="005F0A5B"/>
    <w:rsid w:val="005F10FC"/>
    <w:rsid w:val="005F1A16"/>
    <w:rsid w:val="005F2E73"/>
    <w:rsid w:val="005F3979"/>
    <w:rsid w:val="005F3DBD"/>
    <w:rsid w:val="005F4CD7"/>
    <w:rsid w:val="005F557C"/>
    <w:rsid w:val="005F5BCB"/>
    <w:rsid w:val="005F5BD4"/>
    <w:rsid w:val="005F5C6D"/>
    <w:rsid w:val="005F5EDE"/>
    <w:rsid w:val="005F622C"/>
    <w:rsid w:val="005F6DE9"/>
    <w:rsid w:val="005F6EB4"/>
    <w:rsid w:val="005F7345"/>
    <w:rsid w:val="005F7625"/>
    <w:rsid w:val="005F79A8"/>
    <w:rsid w:val="0060082A"/>
    <w:rsid w:val="00601287"/>
    <w:rsid w:val="006025DE"/>
    <w:rsid w:val="00602E3A"/>
    <w:rsid w:val="00603005"/>
    <w:rsid w:val="006038C9"/>
    <w:rsid w:val="00603E40"/>
    <w:rsid w:val="00604463"/>
    <w:rsid w:val="00604555"/>
    <w:rsid w:val="00604A0F"/>
    <w:rsid w:val="00604DB2"/>
    <w:rsid w:val="00606DBB"/>
    <w:rsid w:val="006077A7"/>
    <w:rsid w:val="00607959"/>
    <w:rsid w:val="0060798E"/>
    <w:rsid w:val="00607D79"/>
    <w:rsid w:val="00610F93"/>
    <w:rsid w:val="00610FBE"/>
    <w:rsid w:val="00613278"/>
    <w:rsid w:val="006138E0"/>
    <w:rsid w:val="00613BFA"/>
    <w:rsid w:val="00614799"/>
    <w:rsid w:val="00615D0E"/>
    <w:rsid w:val="0061673E"/>
    <w:rsid w:val="00617744"/>
    <w:rsid w:val="00617950"/>
    <w:rsid w:val="00617BB8"/>
    <w:rsid w:val="006210D3"/>
    <w:rsid w:val="00621772"/>
    <w:rsid w:val="00622770"/>
    <w:rsid w:val="00622801"/>
    <w:rsid w:val="00622BDF"/>
    <w:rsid w:val="00623221"/>
    <w:rsid w:val="00624FDF"/>
    <w:rsid w:val="006252F2"/>
    <w:rsid w:val="00625D43"/>
    <w:rsid w:val="00626122"/>
    <w:rsid w:val="00626803"/>
    <w:rsid w:val="006278F4"/>
    <w:rsid w:val="00627B98"/>
    <w:rsid w:val="0063114F"/>
    <w:rsid w:val="00631305"/>
    <w:rsid w:val="00631F71"/>
    <w:rsid w:val="006328A6"/>
    <w:rsid w:val="0063336C"/>
    <w:rsid w:val="00633471"/>
    <w:rsid w:val="00633B1C"/>
    <w:rsid w:val="00633C00"/>
    <w:rsid w:val="006349A7"/>
    <w:rsid w:val="00634C01"/>
    <w:rsid w:val="00634DD7"/>
    <w:rsid w:val="00634EA3"/>
    <w:rsid w:val="00635717"/>
    <w:rsid w:val="00635EB3"/>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6F38"/>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1FAB"/>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2AB5"/>
    <w:rsid w:val="00673184"/>
    <w:rsid w:val="0067426B"/>
    <w:rsid w:val="00675422"/>
    <w:rsid w:val="006754FB"/>
    <w:rsid w:val="00675C7A"/>
    <w:rsid w:val="00675EC3"/>
    <w:rsid w:val="00676116"/>
    <w:rsid w:val="00677FC0"/>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864"/>
    <w:rsid w:val="006A3CFD"/>
    <w:rsid w:val="006A3F40"/>
    <w:rsid w:val="006A6E69"/>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C6583"/>
    <w:rsid w:val="006D00F3"/>
    <w:rsid w:val="006D0FA8"/>
    <w:rsid w:val="006D1263"/>
    <w:rsid w:val="006D1435"/>
    <w:rsid w:val="006D163A"/>
    <w:rsid w:val="006D171C"/>
    <w:rsid w:val="006D21AA"/>
    <w:rsid w:val="006D23BA"/>
    <w:rsid w:val="006D24CA"/>
    <w:rsid w:val="006D341B"/>
    <w:rsid w:val="006D3542"/>
    <w:rsid w:val="006D4EA6"/>
    <w:rsid w:val="006D618E"/>
    <w:rsid w:val="006D62DA"/>
    <w:rsid w:val="006D662E"/>
    <w:rsid w:val="006D66E8"/>
    <w:rsid w:val="006D6DD9"/>
    <w:rsid w:val="006D6E11"/>
    <w:rsid w:val="006D6FA0"/>
    <w:rsid w:val="006E0743"/>
    <w:rsid w:val="006E08C9"/>
    <w:rsid w:val="006E09C3"/>
    <w:rsid w:val="006E2239"/>
    <w:rsid w:val="006E28B1"/>
    <w:rsid w:val="006E3E7B"/>
    <w:rsid w:val="006E3F80"/>
    <w:rsid w:val="006E423D"/>
    <w:rsid w:val="006E442E"/>
    <w:rsid w:val="006E4C56"/>
    <w:rsid w:val="006E53FA"/>
    <w:rsid w:val="006E55CD"/>
    <w:rsid w:val="006E7677"/>
    <w:rsid w:val="006E7E43"/>
    <w:rsid w:val="006E7FCD"/>
    <w:rsid w:val="006F01E6"/>
    <w:rsid w:val="006F05FA"/>
    <w:rsid w:val="006F214B"/>
    <w:rsid w:val="006F2882"/>
    <w:rsid w:val="006F2AD8"/>
    <w:rsid w:val="006F392F"/>
    <w:rsid w:val="006F3EAE"/>
    <w:rsid w:val="006F42E6"/>
    <w:rsid w:val="006F53D8"/>
    <w:rsid w:val="006F5A82"/>
    <w:rsid w:val="006F5F82"/>
    <w:rsid w:val="006F6AD5"/>
    <w:rsid w:val="006F7114"/>
    <w:rsid w:val="006F7127"/>
    <w:rsid w:val="00700342"/>
    <w:rsid w:val="007006E7"/>
    <w:rsid w:val="00701964"/>
    <w:rsid w:val="00701BB0"/>
    <w:rsid w:val="00702357"/>
    <w:rsid w:val="00702DB8"/>
    <w:rsid w:val="007034B1"/>
    <w:rsid w:val="00703C67"/>
    <w:rsid w:val="00706092"/>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17B1"/>
    <w:rsid w:val="0072211B"/>
    <w:rsid w:val="007230D3"/>
    <w:rsid w:val="0072348D"/>
    <w:rsid w:val="007242A5"/>
    <w:rsid w:val="0072615B"/>
    <w:rsid w:val="007267CF"/>
    <w:rsid w:val="00727843"/>
    <w:rsid w:val="0073079A"/>
    <w:rsid w:val="00730E24"/>
    <w:rsid w:val="00731385"/>
    <w:rsid w:val="0073158A"/>
    <w:rsid w:val="00731FCA"/>
    <w:rsid w:val="007325C8"/>
    <w:rsid w:val="00732B93"/>
    <w:rsid w:val="0073324D"/>
    <w:rsid w:val="0073362E"/>
    <w:rsid w:val="00735381"/>
    <w:rsid w:val="007363FE"/>
    <w:rsid w:val="00736D6F"/>
    <w:rsid w:val="0074014C"/>
    <w:rsid w:val="00741656"/>
    <w:rsid w:val="0074207B"/>
    <w:rsid w:val="00742164"/>
    <w:rsid w:val="007425D5"/>
    <w:rsid w:val="00742C9D"/>
    <w:rsid w:val="007434DC"/>
    <w:rsid w:val="0074407C"/>
    <w:rsid w:val="007443EA"/>
    <w:rsid w:val="007444A8"/>
    <w:rsid w:val="0074459D"/>
    <w:rsid w:val="0074476D"/>
    <w:rsid w:val="00744C0E"/>
    <w:rsid w:val="0074539C"/>
    <w:rsid w:val="00745752"/>
    <w:rsid w:val="007473CD"/>
    <w:rsid w:val="00747C35"/>
    <w:rsid w:val="00751072"/>
    <w:rsid w:val="00751334"/>
    <w:rsid w:val="00751F9A"/>
    <w:rsid w:val="00752352"/>
    <w:rsid w:val="007526DB"/>
    <w:rsid w:val="0075276C"/>
    <w:rsid w:val="00752956"/>
    <w:rsid w:val="00753B12"/>
    <w:rsid w:val="00753CC1"/>
    <w:rsid w:val="007547EA"/>
    <w:rsid w:val="00754A73"/>
    <w:rsid w:val="00755454"/>
    <w:rsid w:val="0075604E"/>
    <w:rsid w:val="00757526"/>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4953"/>
    <w:rsid w:val="00784A00"/>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7B"/>
    <w:rsid w:val="007A05B6"/>
    <w:rsid w:val="007A141E"/>
    <w:rsid w:val="007A1AA9"/>
    <w:rsid w:val="007A319B"/>
    <w:rsid w:val="007A3667"/>
    <w:rsid w:val="007A56B7"/>
    <w:rsid w:val="007A5CEC"/>
    <w:rsid w:val="007A61F8"/>
    <w:rsid w:val="007A7386"/>
    <w:rsid w:val="007A7861"/>
    <w:rsid w:val="007A7EAF"/>
    <w:rsid w:val="007B01B5"/>
    <w:rsid w:val="007B0229"/>
    <w:rsid w:val="007B0BFE"/>
    <w:rsid w:val="007B1B62"/>
    <w:rsid w:val="007B1C22"/>
    <w:rsid w:val="007B20CB"/>
    <w:rsid w:val="007B24BC"/>
    <w:rsid w:val="007B3C6A"/>
    <w:rsid w:val="007B41A6"/>
    <w:rsid w:val="007B4652"/>
    <w:rsid w:val="007B4FD7"/>
    <w:rsid w:val="007B5F56"/>
    <w:rsid w:val="007B6A98"/>
    <w:rsid w:val="007B7B09"/>
    <w:rsid w:val="007B7C01"/>
    <w:rsid w:val="007C1B6C"/>
    <w:rsid w:val="007C29E1"/>
    <w:rsid w:val="007C2CEC"/>
    <w:rsid w:val="007C3391"/>
    <w:rsid w:val="007C4D57"/>
    <w:rsid w:val="007C4F4F"/>
    <w:rsid w:val="007C5719"/>
    <w:rsid w:val="007C5812"/>
    <w:rsid w:val="007C70BD"/>
    <w:rsid w:val="007C74F4"/>
    <w:rsid w:val="007D10AE"/>
    <w:rsid w:val="007D151B"/>
    <w:rsid w:val="007D1C72"/>
    <w:rsid w:val="007D1E64"/>
    <w:rsid w:val="007D223D"/>
    <w:rsid w:val="007D38C7"/>
    <w:rsid w:val="007D3BE5"/>
    <w:rsid w:val="007D5505"/>
    <w:rsid w:val="007D5B5D"/>
    <w:rsid w:val="007D68CB"/>
    <w:rsid w:val="007D7A1C"/>
    <w:rsid w:val="007D7D7B"/>
    <w:rsid w:val="007D7FE6"/>
    <w:rsid w:val="007E00AB"/>
    <w:rsid w:val="007E01A4"/>
    <w:rsid w:val="007E03EC"/>
    <w:rsid w:val="007E0581"/>
    <w:rsid w:val="007E0B2A"/>
    <w:rsid w:val="007E11D7"/>
    <w:rsid w:val="007E1334"/>
    <w:rsid w:val="007E1AA0"/>
    <w:rsid w:val="007E1E4C"/>
    <w:rsid w:val="007E2C35"/>
    <w:rsid w:val="007E3939"/>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ED5"/>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1A95"/>
    <w:rsid w:val="00822077"/>
    <w:rsid w:val="00822A02"/>
    <w:rsid w:val="008231A9"/>
    <w:rsid w:val="0082357B"/>
    <w:rsid w:val="0082395F"/>
    <w:rsid w:val="00823B22"/>
    <w:rsid w:val="0082428C"/>
    <w:rsid w:val="008251F6"/>
    <w:rsid w:val="008254BC"/>
    <w:rsid w:val="00826FDC"/>
    <w:rsid w:val="008308BE"/>
    <w:rsid w:val="00830CE5"/>
    <w:rsid w:val="008313C2"/>
    <w:rsid w:val="00832520"/>
    <w:rsid w:val="00832E80"/>
    <w:rsid w:val="00832EB5"/>
    <w:rsid w:val="00832F22"/>
    <w:rsid w:val="0083565A"/>
    <w:rsid w:val="00835A0B"/>
    <w:rsid w:val="008409AE"/>
    <w:rsid w:val="00840EA7"/>
    <w:rsid w:val="00840EAF"/>
    <w:rsid w:val="008428E1"/>
    <w:rsid w:val="00842F87"/>
    <w:rsid w:val="008432CC"/>
    <w:rsid w:val="00843CE4"/>
    <w:rsid w:val="0084425F"/>
    <w:rsid w:val="008445A6"/>
    <w:rsid w:val="00844E79"/>
    <w:rsid w:val="008465D2"/>
    <w:rsid w:val="00846CD4"/>
    <w:rsid w:val="008479A7"/>
    <w:rsid w:val="00850792"/>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1F0"/>
    <w:rsid w:val="00863211"/>
    <w:rsid w:val="00863541"/>
    <w:rsid w:val="00863597"/>
    <w:rsid w:val="008646F4"/>
    <w:rsid w:val="00864778"/>
    <w:rsid w:val="00866B5D"/>
    <w:rsid w:val="00866BCA"/>
    <w:rsid w:val="00866CFE"/>
    <w:rsid w:val="0087065A"/>
    <w:rsid w:val="00870E65"/>
    <w:rsid w:val="00871B95"/>
    <w:rsid w:val="00871C7F"/>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406"/>
    <w:rsid w:val="00890CE6"/>
    <w:rsid w:val="00891958"/>
    <w:rsid w:val="00891D64"/>
    <w:rsid w:val="00892A08"/>
    <w:rsid w:val="008943CF"/>
    <w:rsid w:val="008945D6"/>
    <w:rsid w:val="00894763"/>
    <w:rsid w:val="00895C0F"/>
    <w:rsid w:val="00895FE5"/>
    <w:rsid w:val="00896B7C"/>
    <w:rsid w:val="00896C01"/>
    <w:rsid w:val="00896FAB"/>
    <w:rsid w:val="008973E6"/>
    <w:rsid w:val="00897778"/>
    <w:rsid w:val="00897A39"/>
    <w:rsid w:val="00897BD4"/>
    <w:rsid w:val="008A08A4"/>
    <w:rsid w:val="008A15EC"/>
    <w:rsid w:val="008A1914"/>
    <w:rsid w:val="008A2C6E"/>
    <w:rsid w:val="008A4526"/>
    <w:rsid w:val="008A4B15"/>
    <w:rsid w:val="008A4CB3"/>
    <w:rsid w:val="008A4FDA"/>
    <w:rsid w:val="008A54AF"/>
    <w:rsid w:val="008A5C29"/>
    <w:rsid w:val="008A5DB9"/>
    <w:rsid w:val="008A61A8"/>
    <w:rsid w:val="008A64CF"/>
    <w:rsid w:val="008A7775"/>
    <w:rsid w:val="008A7CB0"/>
    <w:rsid w:val="008A7DD8"/>
    <w:rsid w:val="008B0016"/>
    <w:rsid w:val="008B00D1"/>
    <w:rsid w:val="008B0A79"/>
    <w:rsid w:val="008B0EAA"/>
    <w:rsid w:val="008B1332"/>
    <w:rsid w:val="008B21DA"/>
    <w:rsid w:val="008B25D2"/>
    <w:rsid w:val="008B2DD2"/>
    <w:rsid w:val="008B300D"/>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1FC5"/>
    <w:rsid w:val="008C30A0"/>
    <w:rsid w:val="008C3173"/>
    <w:rsid w:val="008C3DF1"/>
    <w:rsid w:val="008C42FB"/>
    <w:rsid w:val="008C45B6"/>
    <w:rsid w:val="008C54D9"/>
    <w:rsid w:val="008C59D0"/>
    <w:rsid w:val="008C5E4C"/>
    <w:rsid w:val="008C7231"/>
    <w:rsid w:val="008D08D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659"/>
    <w:rsid w:val="008E7F9D"/>
    <w:rsid w:val="008F05DE"/>
    <w:rsid w:val="008F09AE"/>
    <w:rsid w:val="008F0AC3"/>
    <w:rsid w:val="008F1DC5"/>
    <w:rsid w:val="008F1F8E"/>
    <w:rsid w:val="008F2299"/>
    <w:rsid w:val="008F2441"/>
    <w:rsid w:val="008F28C0"/>
    <w:rsid w:val="008F2AFB"/>
    <w:rsid w:val="008F4498"/>
    <w:rsid w:val="008F4B96"/>
    <w:rsid w:val="008F53E8"/>
    <w:rsid w:val="008F58D0"/>
    <w:rsid w:val="008F5AD1"/>
    <w:rsid w:val="008F5F59"/>
    <w:rsid w:val="008F640B"/>
    <w:rsid w:val="008F79F2"/>
    <w:rsid w:val="008F7B57"/>
    <w:rsid w:val="0090242B"/>
    <w:rsid w:val="0090342B"/>
    <w:rsid w:val="00903866"/>
    <w:rsid w:val="00904901"/>
    <w:rsid w:val="009050C0"/>
    <w:rsid w:val="0090528C"/>
    <w:rsid w:val="00905466"/>
    <w:rsid w:val="00905918"/>
    <w:rsid w:val="00905D51"/>
    <w:rsid w:val="00905F65"/>
    <w:rsid w:val="00906ED2"/>
    <w:rsid w:val="00907D99"/>
    <w:rsid w:val="00910119"/>
    <w:rsid w:val="0091015A"/>
    <w:rsid w:val="00911462"/>
    <w:rsid w:val="0091183B"/>
    <w:rsid w:val="00911B53"/>
    <w:rsid w:val="00911B78"/>
    <w:rsid w:val="00912436"/>
    <w:rsid w:val="00913A7C"/>
    <w:rsid w:val="00914B83"/>
    <w:rsid w:val="009159E4"/>
    <w:rsid w:val="009166D3"/>
    <w:rsid w:val="00916BA8"/>
    <w:rsid w:val="0092167E"/>
    <w:rsid w:val="00921801"/>
    <w:rsid w:val="00921E32"/>
    <w:rsid w:val="00921E89"/>
    <w:rsid w:val="00922097"/>
    <w:rsid w:val="009220E9"/>
    <w:rsid w:val="00922DD4"/>
    <w:rsid w:val="00923E67"/>
    <w:rsid w:val="00923E96"/>
    <w:rsid w:val="00924369"/>
    <w:rsid w:val="00924B04"/>
    <w:rsid w:val="009255FA"/>
    <w:rsid w:val="00925647"/>
    <w:rsid w:val="0092652E"/>
    <w:rsid w:val="00926589"/>
    <w:rsid w:val="0092691D"/>
    <w:rsid w:val="00926E46"/>
    <w:rsid w:val="00927612"/>
    <w:rsid w:val="00927737"/>
    <w:rsid w:val="00930F9F"/>
    <w:rsid w:val="00930FF5"/>
    <w:rsid w:val="00931D1D"/>
    <w:rsid w:val="00931D32"/>
    <w:rsid w:val="009323E1"/>
    <w:rsid w:val="009324A8"/>
    <w:rsid w:val="00932532"/>
    <w:rsid w:val="00934A46"/>
    <w:rsid w:val="00935BC3"/>
    <w:rsid w:val="00937266"/>
    <w:rsid w:val="00940AA9"/>
    <w:rsid w:val="00941264"/>
    <w:rsid w:val="0094296E"/>
    <w:rsid w:val="0094298C"/>
    <w:rsid w:val="0094553A"/>
    <w:rsid w:val="00945789"/>
    <w:rsid w:val="00947FC1"/>
    <w:rsid w:val="009517E1"/>
    <w:rsid w:val="00951B46"/>
    <w:rsid w:val="00952F7B"/>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352"/>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543"/>
    <w:rsid w:val="00971AAF"/>
    <w:rsid w:val="00971F37"/>
    <w:rsid w:val="00972284"/>
    <w:rsid w:val="0097384C"/>
    <w:rsid w:val="009738C0"/>
    <w:rsid w:val="00974ED3"/>
    <w:rsid w:val="0097583A"/>
    <w:rsid w:val="00975E36"/>
    <w:rsid w:val="009767B4"/>
    <w:rsid w:val="00976A11"/>
    <w:rsid w:val="00977F49"/>
    <w:rsid w:val="009800D9"/>
    <w:rsid w:val="009817FD"/>
    <w:rsid w:val="00981EDA"/>
    <w:rsid w:val="00982365"/>
    <w:rsid w:val="009844BA"/>
    <w:rsid w:val="00984724"/>
    <w:rsid w:val="009857F1"/>
    <w:rsid w:val="00985A7D"/>
    <w:rsid w:val="00985EC8"/>
    <w:rsid w:val="00985F93"/>
    <w:rsid w:val="00986BF8"/>
    <w:rsid w:val="00986C82"/>
    <w:rsid w:val="009911F3"/>
    <w:rsid w:val="00991319"/>
    <w:rsid w:val="00992CAF"/>
    <w:rsid w:val="0099311D"/>
    <w:rsid w:val="00993552"/>
    <w:rsid w:val="00993CD7"/>
    <w:rsid w:val="00994865"/>
    <w:rsid w:val="00995A6D"/>
    <w:rsid w:val="00995DAD"/>
    <w:rsid w:val="00995F4D"/>
    <w:rsid w:val="00996726"/>
    <w:rsid w:val="00996A9C"/>
    <w:rsid w:val="00996EF4"/>
    <w:rsid w:val="009973BE"/>
    <w:rsid w:val="00997849"/>
    <w:rsid w:val="009A02E7"/>
    <w:rsid w:val="009A0FE4"/>
    <w:rsid w:val="009A1480"/>
    <w:rsid w:val="009A2EBB"/>
    <w:rsid w:val="009A35FA"/>
    <w:rsid w:val="009A3D32"/>
    <w:rsid w:val="009A3DE5"/>
    <w:rsid w:val="009A53DE"/>
    <w:rsid w:val="009A5649"/>
    <w:rsid w:val="009A6D30"/>
    <w:rsid w:val="009A78A9"/>
    <w:rsid w:val="009B0854"/>
    <w:rsid w:val="009B0ADA"/>
    <w:rsid w:val="009B0F2B"/>
    <w:rsid w:val="009B1482"/>
    <w:rsid w:val="009B1B86"/>
    <w:rsid w:val="009B27E0"/>
    <w:rsid w:val="009B35DC"/>
    <w:rsid w:val="009B3740"/>
    <w:rsid w:val="009B579E"/>
    <w:rsid w:val="009B5866"/>
    <w:rsid w:val="009B5A24"/>
    <w:rsid w:val="009B6153"/>
    <w:rsid w:val="009B6D05"/>
    <w:rsid w:val="009B7708"/>
    <w:rsid w:val="009C0A23"/>
    <w:rsid w:val="009C2E32"/>
    <w:rsid w:val="009C3C50"/>
    <w:rsid w:val="009C4B9D"/>
    <w:rsid w:val="009C4E1E"/>
    <w:rsid w:val="009C595B"/>
    <w:rsid w:val="009C6673"/>
    <w:rsid w:val="009C6CB5"/>
    <w:rsid w:val="009C6CFE"/>
    <w:rsid w:val="009C7D3E"/>
    <w:rsid w:val="009C7F48"/>
    <w:rsid w:val="009D0B0C"/>
    <w:rsid w:val="009D0C37"/>
    <w:rsid w:val="009D2D63"/>
    <w:rsid w:val="009D60F4"/>
    <w:rsid w:val="009D6686"/>
    <w:rsid w:val="009D6C0F"/>
    <w:rsid w:val="009D6D3D"/>
    <w:rsid w:val="009D7037"/>
    <w:rsid w:val="009D71AB"/>
    <w:rsid w:val="009D72AF"/>
    <w:rsid w:val="009D7595"/>
    <w:rsid w:val="009D7679"/>
    <w:rsid w:val="009D7ADB"/>
    <w:rsid w:val="009D7C0C"/>
    <w:rsid w:val="009D7F0B"/>
    <w:rsid w:val="009D7FBE"/>
    <w:rsid w:val="009E20EB"/>
    <w:rsid w:val="009E489A"/>
    <w:rsid w:val="009E5212"/>
    <w:rsid w:val="009E6C19"/>
    <w:rsid w:val="009E6E2F"/>
    <w:rsid w:val="009F0845"/>
    <w:rsid w:val="009F1EDE"/>
    <w:rsid w:val="009F2CEE"/>
    <w:rsid w:val="009F2EF1"/>
    <w:rsid w:val="009F3F1F"/>
    <w:rsid w:val="009F426B"/>
    <w:rsid w:val="009F5892"/>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3F28"/>
    <w:rsid w:val="00A1485F"/>
    <w:rsid w:val="00A14BF4"/>
    <w:rsid w:val="00A14F1C"/>
    <w:rsid w:val="00A156C9"/>
    <w:rsid w:val="00A15AE5"/>
    <w:rsid w:val="00A16536"/>
    <w:rsid w:val="00A16E35"/>
    <w:rsid w:val="00A1777A"/>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B"/>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C96"/>
    <w:rsid w:val="00A51EB0"/>
    <w:rsid w:val="00A52861"/>
    <w:rsid w:val="00A52A2C"/>
    <w:rsid w:val="00A548C6"/>
    <w:rsid w:val="00A54C2F"/>
    <w:rsid w:val="00A55507"/>
    <w:rsid w:val="00A56D53"/>
    <w:rsid w:val="00A57245"/>
    <w:rsid w:val="00A57A81"/>
    <w:rsid w:val="00A6026F"/>
    <w:rsid w:val="00A6039C"/>
    <w:rsid w:val="00A6063B"/>
    <w:rsid w:val="00A60656"/>
    <w:rsid w:val="00A614D8"/>
    <w:rsid w:val="00A61592"/>
    <w:rsid w:val="00A618ED"/>
    <w:rsid w:val="00A61B9A"/>
    <w:rsid w:val="00A61E26"/>
    <w:rsid w:val="00A61FC3"/>
    <w:rsid w:val="00A655D6"/>
    <w:rsid w:val="00A656CE"/>
    <w:rsid w:val="00A65F4C"/>
    <w:rsid w:val="00A6607A"/>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75"/>
    <w:rsid w:val="00A75DAC"/>
    <w:rsid w:val="00A7604B"/>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105"/>
    <w:rsid w:val="00A946C6"/>
    <w:rsid w:val="00A94A0D"/>
    <w:rsid w:val="00A9526B"/>
    <w:rsid w:val="00A96256"/>
    <w:rsid w:val="00A96A09"/>
    <w:rsid w:val="00AA0497"/>
    <w:rsid w:val="00AA0955"/>
    <w:rsid w:val="00AA1E6A"/>
    <w:rsid w:val="00AA2744"/>
    <w:rsid w:val="00AA3F55"/>
    <w:rsid w:val="00AA46E5"/>
    <w:rsid w:val="00AA46E6"/>
    <w:rsid w:val="00AA4E3C"/>
    <w:rsid w:val="00AA5FEE"/>
    <w:rsid w:val="00AA6624"/>
    <w:rsid w:val="00AA6E94"/>
    <w:rsid w:val="00AA78A9"/>
    <w:rsid w:val="00AA7BC6"/>
    <w:rsid w:val="00AA7D6B"/>
    <w:rsid w:val="00AB03C3"/>
    <w:rsid w:val="00AB060C"/>
    <w:rsid w:val="00AB07BF"/>
    <w:rsid w:val="00AB09BC"/>
    <w:rsid w:val="00AB0B69"/>
    <w:rsid w:val="00AB1987"/>
    <w:rsid w:val="00AB299D"/>
    <w:rsid w:val="00AB2BF1"/>
    <w:rsid w:val="00AB32EE"/>
    <w:rsid w:val="00AB3600"/>
    <w:rsid w:val="00AB3A4C"/>
    <w:rsid w:val="00AB3ACD"/>
    <w:rsid w:val="00AB3B7A"/>
    <w:rsid w:val="00AB5F0B"/>
    <w:rsid w:val="00AB6199"/>
    <w:rsid w:val="00AB67A6"/>
    <w:rsid w:val="00AB6C64"/>
    <w:rsid w:val="00AB797A"/>
    <w:rsid w:val="00AB7A2F"/>
    <w:rsid w:val="00AB7AED"/>
    <w:rsid w:val="00AC0183"/>
    <w:rsid w:val="00AC04B1"/>
    <w:rsid w:val="00AC0698"/>
    <w:rsid w:val="00AC1AB9"/>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EC9"/>
    <w:rsid w:val="00AD1F50"/>
    <w:rsid w:val="00AD2B75"/>
    <w:rsid w:val="00AD457D"/>
    <w:rsid w:val="00AD5212"/>
    <w:rsid w:val="00AD5418"/>
    <w:rsid w:val="00AD5E4E"/>
    <w:rsid w:val="00AD6657"/>
    <w:rsid w:val="00AD6ADD"/>
    <w:rsid w:val="00AD703C"/>
    <w:rsid w:val="00AE1ECB"/>
    <w:rsid w:val="00AE22E9"/>
    <w:rsid w:val="00AE2C21"/>
    <w:rsid w:val="00AE3026"/>
    <w:rsid w:val="00AE31CB"/>
    <w:rsid w:val="00AE36AC"/>
    <w:rsid w:val="00AE3F5C"/>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02F"/>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2BAD"/>
    <w:rsid w:val="00B137E7"/>
    <w:rsid w:val="00B14A97"/>
    <w:rsid w:val="00B14DD8"/>
    <w:rsid w:val="00B15017"/>
    <w:rsid w:val="00B155C3"/>
    <w:rsid w:val="00B15CE7"/>
    <w:rsid w:val="00B1618D"/>
    <w:rsid w:val="00B165A6"/>
    <w:rsid w:val="00B168CC"/>
    <w:rsid w:val="00B1690D"/>
    <w:rsid w:val="00B16D0F"/>
    <w:rsid w:val="00B17345"/>
    <w:rsid w:val="00B20268"/>
    <w:rsid w:val="00B20527"/>
    <w:rsid w:val="00B2077A"/>
    <w:rsid w:val="00B20FC6"/>
    <w:rsid w:val="00B22693"/>
    <w:rsid w:val="00B227A5"/>
    <w:rsid w:val="00B227E9"/>
    <w:rsid w:val="00B22806"/>
    <w:rsid w:val="00B228EE"/>
    <w:rsid w:val="00B22EA6"/>
    <w:rsid w:val="00B22F3E"/>
    <w:rsid w:val="00B235ED"/>
    <w:rsid w:val="00B253A6"/>
    <w:rsid w:val="00B25C33"/>
    <w:rsid w:val="00B25E29"/>
    <w:rsid w:val="00B2662C"/>
    <w:rsid w:val="00B26C72"/>
    <w:rsid w:val="00B2719B"/>
    <w:rsid w:val="00B274D9"/>
    <w:rsid w:val="00B30C78"/>
    <w:rsid w:val="00B323A4"/>
    <w:rsid w:val="00B33563"/>
    <w:rsid w:val="00B3404B"/>
    <w:rsid w:val="00B34094"/>
    <w:rsid w:val="00B343F3"/>
    <w:rsid w:val="00B34FE4"/>
    <w:rsid w:val="00B36321"/>
    <w:rsid w:val="00B36FF8"/>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1D"/>
    <w:rsid w:val="00B5186D"/>
    <w:rsid w:val="00B52926"/>
    <w:rsid w:val="00B52F0C"/>
    <w:rsid w:val="00B52F2D"/>
    <w:rsid w:val="00B5372D"/>
    <w:rsid w:val="00B54526"/>
    <w:rsid w:val="00B54B31"/>
    <w:rsid w:val="00B55B23"/>
    <w:rsid w:val="00B55FE1"/>
    <w:rsid w:val="00B569FC"/>
    <w:rsid w:val="00B57430"/>
    <w:rsid w:val="00B574C8"/>
    <w:rsid w:val="00B5767B"/>
    <w:rsid w:val="00B57C0E"/>
    <w:rsid w:val="00B61ED0"/>
    <w:rsid w:val="00B6319D"/>
    <w:rsid w:val="00B63FDB"/>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1A23"/>
    <w:rsid w:val="00B72331"/>
    <w:rsid w:val="00B725FA"/>
    <w:rsid w:val="00B72DFD"/>
    <w:rsid w:val="00B73BA9"/>
    <w:rsid w:val="00B73FA7"/>
    <w:rsid w:val="00B740A1"/>
    <w:rsid w:val="00B74318"/>
    <w:rsid w:val="00B753D1"/>
    <w:rsid w:val="00B75E25"/>
    <w:rsid w:val="00B76A92"/>
    <w:rsid w:val="00B76BCF"/>
    <w:rsid w:val="00B76C81"/>
    <w:rsid w:val="00B7785D"/>
    <w:rsid w:val="00B77B78"/>
    <w:rsid w:val="00B77D18"/>
    <w:rsid w:val="00B8022C"/>
    <w:rsid w:val="00B80357"/>
    <w:rsid w:val="00B807BD"/>
    <w:rsid w:val="00B80AC8"/>
    <w:rsid w:val="00B81929"/>
    <w:rsid w:val="00B81FE6"/>
    <w:rsid w:val="00B8206A"/>
    <w:rsid w:val="00B82648"/>
    <w:rsid w:val="00B827C8"/>
    <w:rsid w:val="00B83047"/>
    <w:rsid w:val="00B834A4"/>
    <w:rsid w:val="00B836B0"/>
    <w:rsid w:val="00B83DD2"/>
    <w:rsid w:val="00B84072"/>
    <w:rsid w:val="00B8411B"/>
    <w:rsid w:val="00B84F18"/>
    <w:rsid w:val="00B853B4"/>
    <w:rsid w:val="00B85C37"/>
    <w:rsid w:val="00B85D7B"/>
    <w:rsid w:val="00B860C8"/>
    <w:rsid w:val="00B86B9B"/>
    <w:rsid w:val="00B8792F"/>
    <w:rsid w:val="00B90921"/>
    <w:rsid w:val="00B9125F"/>
    <w:rsid w:val="00B916FF"/>
    <w:rsid w:val="00B92FFE"/>
    <w:rsid w:val="00B93253"/>
    <w:rsid w:val="00B93BBA"/>
    <w:rsid w:val="00B94445"/>
    <w:rsid w:val="00B948B8"/>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4C0"/>
    <w:rsid w:val="00BB3604"/>
    <w:rsid w:val="00BB379D"/>
    <w:rsid w:val="00BB3F6D"/>
    <w:rsid w:val="00BB4131"/>
    <w:rsid w:val="00BB5B7E"/>
    <w:rsid w:val="00BB6239"/>
    <w:rsid w:val="00BB6FE9"/>
    <w:rsid w:val="00BB7C1F"/>
    <w:rsid w:val="00BC02EF"/>
    <w:rsid w:val="00BC2111"/>
    <w:rsid w:val="00BC2848"/>
    <w:rsid w:val="00BC3272"/>
    <w:rsid w:val="00BC3508"/>
    <w:rsid w:val="00BC3CA7"/>
    <w:rsid w:val="00BC3F0E"/>
    <w:rsid w:val="00BC3F14"/>
    <w:rsid w:val="00BC47DC"/>
    <w:rsid w:val="00BC51D6"/>
    <w:rsid w:val="00BC51E9"/>
    <w:rsid w:val="00BC54D3"/>
    <w:rsid w:val="00BC62C0"/>
    <w:rsid w:val="00BC633A"/>
    <w:rsid w:val="00BC6777"/>
    <w:rsid w:val="00BC67F7"/>
    <w:rsid w:val="00BC6D95"/>
    <w:rsid w:val="00BC79A6"/>
    <w:rsid w:val="00BD07B4"/>
    <w:rsid w:val="00BD1CC1"/>
    <w:rsid w:val="00BD2A68"/>
    <w:rsid w:val="00BD2E54"/>
    <w:rsid w:val="00BD5061"/>
    <w:rsid w:val="00BD5139"/>
    <w:rsid w:val="00BD589A"/>
    <w:rsid w:val="00BD5D53"/>
    <w:rsid w:val="00BD672B"/>
    <w:rsid w:val="00BD6ED4"/>
    <w:rsid w:val="00BE0818"/>
    <w:rsid w:val="00BE181E"/>
    <w:rsid w:val="00BE1A32"/>
    <w:rsid w:val="00BE23F2"/>
    <w:rsid w:val="00BE2659"/>
    <w:rsid w:val="00BE2E87"/>
    <w:rsid w:val="00BE38A5"/>
    <w:rsid w:val="00BE3B53"/>
    <w:rsid w:val="00BE3BC7"/>
    <w:rsid w:val="00BE405A"/>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03E"/>
    <w:rsid w:val="00C024FD"/>
    <w:rsid w:val="00C02901"/>
    <w:rsid w:val="00C02F81"/>
    <w:rsid w:val="00C04410"/>
    <w:rsid w:val="00C04991"/>
    <w:rsid w:val="00C04C79"/>
    <w:rsid w:val="00C05AC4"/>
    <w:rsid w:val="00C06539"/>
    <w:rsid w:val="00C100F8"/>
    <w:rsid w:val="00C11959"/>
    <w:rsid w:val="00C12A64"/>
    <w:rsid w:val="00C1305C"/>
    <w:rsid w:val="00C132E2"/>
    <w:rsid w:val="00C13726"/>
    <w:rsid w:val="00C13981"/>
    <w:rsid w:val="00C13B83"/>
    <w:rsid w:val="00C13C5D"/>
    <w:rsid w:val="00C13C9B"/>
    <w:rsid w:val="00C13D90"/>
    <w:rsid w:val="00C147CB"/>
    <w:rsid w:val="00C14998"/>
    <w:rsid w:val="00C14AE0"/>
    <w:rsid w:val="00C14D20"/>
    <w:rsid w:val="00C15E25"/>
    <w:rsid w:val="00C15E30"/>
    <w:rsid w:val="00C16620"/>
    <w:rsid w:val="00C168A4"/>
    <w:rsid w:val="00C168D7"/>
    <w:rsid w:val="00C16E3D"/>
    <w:rsid w:val="00C1728D"/>
    <w:rsid w:val="00C1768D"/>
    <w:rsid w:val="00C176A0"/>
    <w:rsid w:val="00C207A9"/>
    <w:rsid w:val="00C20852"/>
    <w:rsid w:val="00C20865"/>
    <w:rsid w:val="00C20CF2"/>
    <w:rsid w:val="00C218B6"/>
    <w:rsid w:val="00C21B28"/>
    <w:rsid w:val="00C21D3B"/>
    <w:rsid w:val="00C21D91"/>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0443"/>
    <w:rsid w:val="00C31248"/>
    <w:rsid w:val="00C31D09"/>
    <w:rsid w:val="00C325B3"/>
    <w:rsid w:val="00C3283F"/>
    <w:rsid w:val="00C32F79"/>
    <w:rsid w:val="00C33BF9"/>
    <w:rsid w:val="00C34B62"/>
    <w:rsid w:val="00C355FF"/>
    <w:rsid w:val="00C3566A"/>
    <w:rsid w:val="00C35A4A"/>
    <w:rsid w:val="00C35A68"/>
    <w:rsid w:val="00C35A6A"/>
    <w:rsid w:val="00C3630B"/>
    <w:rsid w:val="00C3669F"/>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0B69"/>
    <w:rsid w:val="00C511E1"/>
    <w:rsid w:val="00C51255"/>
    <w:rsid w:val="00C53013"/>
    <w:rsid w:val="00C53D02"/>
    <w:rsid w:val="00C54C13"/>
    <w:rsid w:val="00C54D4A"/>
    <w:rsid w:val="00C54DF5"/>
    <w:rsid w:val="00C54E36"/>
    <w:rsid w:val="00C54E64"/>
    <w:rsid w:val="00C55C44"/>
    <w:rsid w:val="00C55C7E"/>
    <w:rsid w:val="00C56C10"/>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662"/>
    <w:rsid w:val="00C75C02"/>
    <w:rsid w:val="00C76BFE"/>
    <w:rsid w:val="00C77681"/>
    <w:rsid w:val="00C77D90"/>
    <w:rsid w:val="00C808F0"/>
    <w:rsid w:val="00C809E5"/>
    <w:rsid w:val="00C8218B"/>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531"/>
    <w:rsid w:val="00CA156C"/>
    <w:rsid w:val="00CA1BDB"/>
    <w:rsid w:val="00CA1C0F"/>
    <w:rsid w:val="00CA1C61"/>
    <w:rsid w:val="00CA1FC0"/>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76FA"/>
    <w:rsid w:val="00CC7C35"/>
    <w:rsid w:val="00CD03D0"/>
    <w:rsid w:val="00CD04D5"/>
    <w:rsid w:val="00CD0729"/>
    <w:rsid w:val="00CD0841"/>
    <w:rsid w:val="00CD1B5B"/>
    <w:rsid w:val="00CD1C6E"/>
    <w:rsid w:val="00CD3368"/>
    <w:rsid w:val="00CD3C27"/>
    <w:rsid w:val="00CD4084"/>
    <w:rsid w:val="00CD5742"/>
    <w:rsid w:val="00CD59BF"/>
    <w:rsid w:val="00CD6E3C"/>
    <w:rsid w:val="00CD74BA"/>
    <w:rsid w:val="00CE0B55"/>
    <w:rsid w:val="00CE0E3E"/>
    <w:rsid w:val="00CE12A6"/>
    <w:rsid w:val="00CE1968"/>
    <w:rsid w:val="00CE1CC9"/>
    <w:rsid w:val="00CE2909"/>
    <w:rsid w:val="00CE317E"/>
    <w:rsid w:val="00CE409F"/>
    <w:rsid w:val="00CE4870"/>
    <w:rsid w:val="00CE4E0C"/>
    <w:rsid w:val="00CE61C3"/>
    <w:rsid w:val="00CE6A0D"/>
    <w:rsid w:val="00CE71E6"/>
    <w:rsid w:val="00CE72B8"/>
    <w:rsid w:val="00CE76BE"/>
    <w:rsid w:val="00CF08AB"/>
    <w:rsid w:val="00CF0FEE"/>
    <w:rsid w:val="00CF2208"/>
    <w:rsid w:val="00CF25DD"/>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37A6"/>
    <w:rsid w:val="00D04030"/>
    <w:rsid w:val="00D04349"/>
    <w:rsid w:val="00D048E0"/>
    <w:rsid w:val="00D04CA2"/>
    <w:rsid w:val="00D0573D"/>
    <w:rsid w:val="00D0592B"/>
    <w:rsid w:val="00D05B19"/>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7F5"/>
    <w:rsid w:val="00D400AE"/>
    <w:rsid w:val="00D40197"/>
    <w:rsid w:val="00D40716"/>
    <w:rsid w:val="00D411F0"/>
    <w:rsid w:val="00D41649"/>
    <w:rsid w:val="00D41E25"/>
    <w:rsid w:val="00D41E7D"/>
    <w:rsid w:val="00D42063"/>
    <w:rsid w:val="00D4228F"/>
    <w:rsid w:val="00D424D7"/>
    <w:rsid w:val="00D427A2"/>
    <w:rsid w:val="00D43207"/>
    <w:rsid w:val="00D43375"/>
    <w:rsid w:val="00D44336"/>
    <w:rsid w:val="00D44BA5"/>
    <w:rsid w:val="00D45515"/>
    <w:rsid w:val="00D45602"/>
    <w:rsid w:val="00D456BD"/>
    <w:rsid w:val="00D4581E"/>
    <w:rsid w:val="00D46F5A"/>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3E20"/>
    <w:rsid w:val="00D64807"/>
    <w:rsid w:val="00D6549B"/>
    <w:rsid w:val="00D65533"/>
    <w:rsid w:val="00D665CC"/>
    <w:rsid w:val="00D67252"/>
    <w:rsid w:val="00D70C19"/>
    <w:rsid w:val="00D71176"/>
    <w:rsid w:val="00D71FF6"/>
    <w:rsid w:val="00D72072"/>
    <w:rsid w:val="00D728D1"/>
    <w:rsid w:val="00D72E79"/>
    <w:rsid w:val="00D74279"/>
    <w:rsid w:val="00D75C30"/>
    <w:rsid w:val="00D76337"/>
    <w:rsid w:val="00D76468"/>
    <w:rsid w:val="00D769ED"/>
    <w:rsid w:val="00D7782A"/>
    <w:rsid w:val="00D80281"/>
    <w:rsid w:val="00D80824"/>
    <w:rsid w:val="00D808F4"/>
    <w:rsid w:val="00D80973"/>
    <w:rsid w:val="00D80D19"/>
    <w:rsid w:val="00D8125F"/>
    <w:rsid w:val="00D8139F"/>
    <w:rsid w:val="00D8170A"/>
    <w:rsid w:val="00D81C97"/>
    <w:rsid w:val="00D821E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A"/>
    <w:rsid w:val="00DB5750"/>
    <w:rsid w:val="00DB5FB0"/>
    <w:rsid w:val="00DB6293"/>
    <w:rsid w:val="00DB6413"/>
    <w:rsid w:val="00DB6BF1"/>
    <w:rsid w:val="00DB793D"/>
    <w:rsid w:val="00DC1591"/>
    <w:rsid w:val="00DC2163"/>
    <w:rsid w:val="00DC2997"/>
    <w:rsid w:val="00DC3267"/>
    <w:rsid w:val="00DC34C2"/>
    <w:rsid w:val="00DC4363"/>
    <w:rsid w:val="00DC46DA"/>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22D4"/>
    <w:rsid w:val="00DF5638"/>
    <w:rsid w:val="00DF5C9E"/>
    <w:rsid w:val="00DF63C8"/>
    <w:rsid w:val="00DF6479"/>
    <w:rsid w:val="00DF64CA"/>
    <w:rsid w:val="00DF6C92"/>
    <w:rsid w:val="00DF7861"/>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17A4B"/>
    <w:rsid w:val="00E17BE6"/>
    <w:rsid w:val="00E20E34"/>
    <w:rsid w:val="00E212B1"/>
    <w:rsid w:val="00E21380"/>
    <w:rsid w:val="00E21E0B"/>
    <w:rsid w:val="00E23842"/>
    <w:rsid w:val="00E24B03"/>
    <w:rsid w:val="00E24E75"/>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567"/>
    <w:rsid w:val="00E446A5"/>
    <w:rsid w:val="00E449A7"/>
    <w:rsid w:val="00E45C1A"/>
    <w:rsid w:val="00E4640D"/>
    <w:rsid w:val="00E46738"/>
    <w:rsid w:val="00E46A0A"/>
    <w:rsid w:val="00E47A32"/>
    <w:rsid w:val="00E5021D"/>
    <w:rsid w:val="00E5202D"/>
    <w:rsid w:val="00E521C7"/>
    <w:rsid w:val="00E525F8"/>
    <w:rsid w:val="00E52B34"/>
    <w:rsid w:val="00E54271"/>
    <w:rsid w:val="00E5515A"/>
    <w:rsid w:val="00E552B0"/>
    <w:rsid w:val="00E55E94"/>
    <w:rsid w:val="00E5648B"/>
    <w:rsid w:val="00E56F98"/>
    <w:rsid w:val="00E574F1"/>
    <w:rsid w:val="00E60126"/>
    <w:rsid w:val="00E6187F"/>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965"/>
    <w:rsid w:val="00E70B76"/>
    <w:rsid w:val="00E70FEB"/>
    <w:rsid w:val="00E71501"/>
    <w:rsid w:val="00E71F28"/>
    <w:rsid w:val="00E738B8"/>
    <w:rsid w:val="00E744D4"/>
    <w:rsid w:val="00E74F5E"/>
    <w:rsid w:val="00E75553"/>
    <w:rsid w:val="00E7561A"/>
    <w:rsid w:val="00E75C87"/>
    <w:rsid w:val="00E775EF"/>
    <w:rsid w:val="00E775FA"/>
    <w:rsid w:val="00E77867"/>
    <w:rsid w:val="00E77A27"/>
    <w:rsid w:val="00E80240"/>
    <w:rsid w:val="00E80258"/>
    <w:rsid w:val="00E80D56"/>
    <w:rsid w:val="00E80FD3"/>
    <w:rsid w:val="00E81137"/>
    <w:rsid w:val="00E814AF"/>
    <w:rsid w:val="00E821AE"/>
    <w:rsid w:val="00E82475"/>
    <w:rsid w:val="00E82ABA"/>
    <w:rsid w:val="00E83A86"/>
    <w:rsid w:val="00E850F3"/>
    <w:rsid w:val="00E85C83"/>
    <w:rsid w:val="00E8686D"/>
    <w:rsid w:val="00E86A27"/>
    <w:rsid w:val="00E873FF"/>
    <w:rsid w:val="00E87749"/>
    <w:rsid w:val="00E87B42"/>
    <w:rsid w:val="00E87C7C"/>
    <w:rsid w:val="00E91944"/>
    <w:rsid w:val="00E91C81"/>
    <w:rsid w:val="00E92135"/>
    <w:rsid w:val="00E93208"/>
    <w:rsid w:val="00E93E05"/>
    <w:rsid w:val="00E94568"/>
    <w:rsid w:val="00E94606"/>
    <w:rsid w:val="00E94624"/>
    <w:rsid w:val="00E94755"/>
    <w:rsid w:val="00E94862"/>
    <w:rsid w:val="00E9591C"/>
    <w:rsid w:val="00E95D04"/>
    <w:rsid w:val="00E968A9"/>
    <w:rsid w:val="00E9746A"/>
    <w:rsid w:val="00EA0296"/>
    <w:rsid w:val="00EA0589"/>
    <w:rsid w:val="00EA072E"/>
    <w:rsid w:val="00EA17D3"/>
    <w:rsid w:val="00EA1E1D"/>
    <w:rsid w:val="00EA1EB5"/>
    <w:rsid w:val="00EA2240"/>
    <w:rsid w:val="00EA235F"/>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916"/>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537B"/>
    <w:rsid w:val="00EC6842"/>
    <w:rsid w:val="00EC70C6"/>
    <w:rsid w:val="00EC714B"/>
    <w:rsid w:val="00EC7F26"/>
    <w:rsid w:val="00ED012B"/>
    <w:rsid w:val="00ED02F9"/>
    <w:rsid w:val="00ED0444"/>
    <w:rsid w:val="00ED04EC"/>
    <w:rsid w:val="00ED052F"/>
    <w:rsid w:val="00ED0E29"/>
    <w:rsid w:val="00ED28C4"/>
    <w:rsid w:val="00ED334E"/>
    <w:rsid w:val="00ED3A2A"/>
    <w:rsid w:val="00ED490E"/>
    <w:rsid w:val="00ED6038"/>
    <w:rsid w:val="00ED653F"/>
    <w:rsid w:val="00ED6550"/>
    <w:rsid w:val="00ED748E"/>
    <w:rsid w:val="00ED75D5"/>
    <w:rsid w:val="00ED7D4A"/>
    <w:rsid w:val="00EE02E3"/>
    <w:rsid w:val="00EE07BA"/>
    <w:rsid w:val="00EE0D34"/>
    <w:rsid w:val="00EE1515"/>
    <w:rsid w:val="00EE18BD"/>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663"/>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EAA"/>
    <w:rsid w:val="00F1748F"/>
    <w:rsid w:val="00F17594"/>
    <w:rsid w:val="00F17E4B"/>
    <w:rsid w:val="00F2074F"/>
    <w:rsid w:val="00F21995"/>
    <w:rsid w:val="00F21B41"/>
    <w:rsid w:val="00F2274B"/>
    <w:rsid w:val="00F23678"/>
    <w:rsid w:val="00F23747"/>
    <w:rsid w:val="00F24307"/>
    <w:rsid w:val="00F2497D"/>
    <w:rsid w:val="00F252EE"/>
    <w:rsid w:val="00F258D4"/>
    <w:rsid w:val="00F2670F"/>
    <w:rsid w:val="00F26FDE"/>
    <w:rsid w:val="00F30B00"/>
    <w:rsid w:val="00F314FE"/>
    <w:rsid w:val="00F31BBD"/>
    <w:rsid w:val="00F3318B"/>
    <w:rsid w:val="00F337B5"/>
    <w:rsid w:val="00F3503C"/>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795"/>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57FC1"/>
    <w:rsid w:val="00F6119E"/>
    <w:rsid w:val="00F6121D"/>
    <w:rsid w:val="00F6150C"/>
    <w:rsid w:val="00F61D08"/>
    <w:rsid w:val="00F624BA"/>
    <w:rsid w:val="00F62721"/>
    <w:rsid w:val="00F62986"/>
    <w:rsid w:val="00F62CF0"/>
    <w:rsid w:val="00F633B7"/>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0C1"/>
    <w:rsid w:val="00F749A8"/>
    <w:rsid w:val="00F74F32"/>
    <w:rsid w:val="00F75C81"/>
    <w:rsid w:val="00F760BB"/>
    <w:rsid w:val="00F7621A"/>
    <w:rsid w:val="00F76A97"/>
    <w:rsid w:val="00F77CFC"/>
    <w:rsid w:val="00F8003B"/>
    <w:rsid w:val="00F803E8"/>
    <w:rsid w:val="00F8087D"/>
    <w:rsid w:val="00F810F2"/>
    <w:rsid w:val="00F8115C"/>
    <w:rsid w:val="00F81192"/>
    <w:rsid w:val="00F81513"/>
    <w:rsid w:val="00F81D51"/>
    <w:rsid w:val="00F82083"/>
    <w:rsid w:val="00F82179"/>
    <w:rsid w:val="00F826EA"/>
    <w:rsid w:val="00F83AB3"/>
    <w:rsid w:val="00F859EC"/>
    <w:rsid w:val="00F85AEE"/>
    <w:rsid w:val="00F863D0"/>
    <w:rsid w:val="00F864AB"/>
    <w:rsid w:val="00F86554"/>
    <w:rsid w:val="00F87688"/>
    <w:rsid w:val="00F877F0"/>
    <w:rsid w:val="00F87ECD"/>
    <w:rsid w:val="00F9028E"/>
    <w:rsid w:val="00F9171E"/>
    <w:rsid w:val="00F91899"/>
    <w:rsid w:val="00F91CFA"/>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192"/>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5D3"/>
    <w:rsid w:val="00FC2ADB"/>
    <w:rsid w:val="00FC2E5F"/>
    <w:rsid w:val="00FC385D"/>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A64"/>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7695"/>
    <w:rsid w:val="00FF773C"/>
    <w:rsid w:val="00FF78F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848FA"/>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265FEB"/>
    <w:pPr>
      <w:keepNext/>
      <w:keepLines/>
      <w:numPr>
        <w:numId w:val="2"/>
      </w:numPr>
      <w:spacing w:after="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265FEB"/>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qFormat/>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erenceInternalOrdered">
    <w:name w:val="Reference Internal Ordered"/>
    <w:basedOn w:val="ReferenceOrdered"/>
    <w:rsid w:val="00432215"/>
    <w:pPr>
      <w:keepNext w:val="0"/>
      <w:keepLines w:val="0"/>
      <w:numPr>
        <w:numId w:val="35"/>
      </w:num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ncbi.nlm.nih.gov/pubmed/?term=Singh%20JA%5BAuthor%5D&amp;cauthor=true&amp;cauthor_uid=26545940"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ncbi.nlm.nih.gov/pubmed/?term=Bridges%20SL%20Jr%5BAuthor%5D&amp;cauthor=true&amp;cauthor_uid=2654594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ncbi.nlm.nih.gov/pubmed/?term=Saag%20KG%5BAuthor%5D&amp;cauthor=true&amp;cauthor_uid=2654594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00AC67-882B-4A68-9AB7-1D90872BDFCF}"/>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102fadf2-6cae-45bc-95f6-bc2613b98572"/>
    <ds:schemaRef ds:uri="ce173f13-e3a2-4c5f-8c54-d0382ae88016"/>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3305</Words>
  <Characters>18839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Actemra and Biosimilars SGM 1959-A</vt:lpstr>
    </vt:vector>
  </TitlesOfParts>
  <Company>CVS Caremark</Company>
  <LinksUpToDate>false</LinksUpToDate>
  <CharactersWithSpaces>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Actemra and Biosimilars SGM 1959-A</dc:title>
  <dc:subject>Actemra and Biosimilars SGM 1959-A</dc:subject>
  <dc:creator>CVS Caremark</dc:creator>
  <cp:keywords/>
  <cp:lastModifiedBy>Reynoso, Victor H</cp:lastModifiedBy>
  <cp:revision>4</cp:revision>
  <cp:lastPrinted>2018-01-09T05:01:00Z</cp:lastPrinted>
  <dcterms:created xsi:type="dcterms:W3CDTF">2025-07-17T10:23:00Z</dcterms:created>
  <dcterms:modified xsi:type="dcterms:W3CDTF">2025-07-17T10:27:00Z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92500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